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зерна и окончательный расчёт</w:t>
      </w:r>
    </w:p>
    <w:p>
      <w:pPr>
        <w:pStyle w:val="Subtitle"/>
      </w:pPr>
      <w:r>
        <w:t xml:space="preserve">Сельское хозяйство и зернотрейдинг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Партия прошла взвешивание и лабораторную проверку.</w:t>
      </w:r>
    </w:p>
    <w:p>
      <w:r>
        <w:t xml:space="preserve">Одобрена сумма, связанная с массой, качеством и услугами.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Поставка</w:t>
            </w:r>
          </w:p>
        </w:tc>
        <w:tc>
          <w:tcPr>
            <w:tcW w:w="2400" w:type="dxa"/>
          </w:tcPr>
          <w:p>
            <w:r>
              <w:t xml:space="preserve">Идентификатор партии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Масса</w:t>
            </w:r>
          </w:p>
        </w:tc>
        <w:tc>
          <w:tcPr>
            <w:tcW w:w="2400" w:type="dxa"/>
          </w:tcPr>
          <w:p>
            <w:r>
              <w:t xml:space="preserve">Принятое значение и основание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Услуги</w:t>
            </w:r>
          </w:p>
        </w:tc>
        <w:tc>
          <w:tcPr>
            <w:tcW w:w="2400" w:type="dxa"/>
          </w:tcPr>
          <w:p>
            <w:r>
              <w:t xml:space="preserve">Сушка, очистка, хранение по факту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Весовые документы</w:t>
            </w:r>
          </w:p>
        </w:tc>
        <w:tc>
          <w:tcPr>
            <w:tcW w:w="2400" w:type="dxa"/>
          </w:tcPr>
          <w:p>
            <w:r>
              <w:t xml:space="preserve">Подтверждают измерения.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Протокол анализа</w:t>
            </w:r>
          </w:p>
        </w:tc>
        <w:tc>
          <w:tcPr>
            <w:tcW w:w="2400" w:type="dxa"/>
          </w:tcPr>
          <w:p>
            <w:r>
              <w:t xml:space="preserve">Определяет качественные параметры.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услуг и корректировок</w:t>
            </w:r>
          </w:p>
        </w:tc>
        <w:tc>
          <w:tcPr>
            <w:tcW w:w="2400" w:type="dxa"/>
          </w:tcPr>
          <w:p>
            <w:r>
              <w:t xml:space="preserve">Обосновывает итоговую стоимость.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Измерение</w:t>
      </w:r>
    </w:p>
    <w:p>
      <w:r>
        <w:t xml:space="preserve">Роли. Весовщик.</w:t>
      </w:r>
    </w:p>
    <w:p>
      <w:r>
        <w:t xml:space="preserve">Решение назначенного участника этапа.</w:t>
      </w:r>
    </w:p>
    <w:p>
      <w:r>
        <w:t xml:space="preserve">☐ Сверить поставку</w:t>
      </w:r>
    </w:p>
    <w:p>
      <w:r>
        <w:t xml:space="preserve">☐ Проверить весовые данные</w:t>
      </w:r>
    </w:p>
    <w:p>
      <w:r>
        <w:t xml:space="preserve">Результат этапа. Подтверждённая масса.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Качественные показатели</w:t>
      </w:r>
    </w:p>
    <w:p>
      <w:r>
        <w:t xml:space="preserve">Роли. Лаборатория.</w:t>
      </w:r>
    </w:p>
    <w:p>
      <w:r>
        <w:t xml:space="preserve">Решение назначенного участника этапа.</w:t>
      </w:r>
    </w:p>
    <w:p>
      <w:r>
        <w:t xml:space="preserve">☐ Проверить пробу</w:t>
      </w:r>
    </w:p>
    <w:p>
      <w:r>
        <w:t xml:space="preserve">☐ Зафиксировать спорные значения</w:t>
      </w:r>
    </w:p>
    <w:p>
      <w:r>
        <w:t xml:space="preserve">Результат этапа. Протокол качества.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Применить договорные корректировки</w:t>
      </w:r>
    </w:p>
    <w:p>
      <w:r>
        <w:t xml:space="preserve">☐ Отделить стоимость услуг</w:t>
      </w:r>
    </w:p>
    <w:p>
      <w:r>
        <w:t xml:space="preserve">Результат этапа. Окончательная сумма.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Финансовое одобрение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Сверить исходные основания</w:t>
      </w:r>
    </w:p>
    <w:p>
      <w:r>
        <w:t xml:space="preserve">☐ Утвердить расчёт</w:t>
      </w:r>
    </w:p>
    <w:p>
      <w:r>
        <w:t xml:space="preserve">Результат этапа. Основание первичных документов.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Анализы сторон расходятся.</w:t>
      </w:r>
    </w:p>
    <w:p>
      <w:r>
        <w:t xml:space="preserve">Запустить предусмотренную договором проверку и сохранить спор.</w:t>
      </w:r>
    </w:p>
    <w:p>
      <w:r>
        <w:t xml:space="preserve">Ответственный. Лаборатория.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Включены неподтверждённые услуги.</w:t>
      </w:r>
    </w:p>
    <w:p>
      <w:r>
        <w:t xml:space="preserve">Запросить основания по каждой услуге.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Срок закрытия расчёта партии. Дни от полного комплекта измерений до утверждения суммы.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Спор не закрывается автоматически по факту поступления одного протокола.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Бухгалтерия элеватора и комбикормового завода. Проверено 2026-09-14.</w:t>
      </w:r>
    </w:p>
    <w:p>
      <w:r>
        <w:t xml:space="preserve">https://solutions.1c.ru/catalog/buh-elevator</w:t>
      </w:r>
    </w:p>
    <w:p>
      <w:r>
        <w:t xml:space="preserve">Весовая, лаборатория, услуги и отгрузка. Официальное описание функций. Доли рынка и готовая интеграция с АА.Докс не установлены.</w:t>
      </w:r>
    </w:p>
    <w:p>
      <w:r>
        <w:t xml:space="preserve">SAP. Contract Settlement. Проверено 2026-09-14.</w:t>
      </w:r>
    </w:p>
    <w:p>
      <w:r>
        <w:t xml:space="preserve">https://help.sap.com/docs/SAP_AGRICULTURAL_CONTRACT_MANAGEMENT/5146528fdfcf414495b50f972e78d8e4/5c6165f9f6c54daf91bbe2305ead7f54.html</w:t>
      </w:r>
    </w:p>
    <w:p>
      <w:r>
        <w:t xml:space="preserve">Предварительный, окончательный расчёт и корректировки.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https://aadocs.ru/otrasli/agriculture/grain-settlement</w:t>
      </w:r>
    </w:p>
    <w:p>
      <w:r>
        <w:t xml:space="preserve">Запуск с назначением участников</w:t>
      </w:r>
    </w:p>
    <w:p>
      <w:r>
        <w:t xml:space="preserve">https://app.aadocs.ru/processes/catalog/agriculture/grain-settlement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