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КП на авиаперевозку груза</w:t>
      </w:r>
    </w:p>
    <w:p>
      <w:pPr>
        <w:pStyle w:val="Subtitle"/>
      </w:pPr>
      <w:r>
        <w:t xml:space="preserve">Авиационная грузовая логистика</w:t>
      </w:r>
    </w:p>
    <w:p>
      <w:r>
        <w:t xml:space="preserve">Рабочий шаблон согласования АА.Докс. Редакция каталога 2026-09-16.</w:t>
      </w:r>
    </w:p>
    <w:p>
      <w:r>
        <w:t xml:space="preserve">Авторская модель для настройки в организации. Поля с подчёркиванием заполняются владельцем процесса. Примеры синтетические, готовые цены и юридические условия не установлены.</w:t>
      </w:r>
    </w:p>
    <w:p>
      <w:pPr>
        <w:pStyle w:val="Heading1"/>
      </w:pPr>
      <w:r>
        <w:t xml:space="preserve">Паспорт решения</w:t>
      </w:r>
    </w:p>
    <w:p>
      <w:r>
        <w:t xml:space="preserve">Получен запрос на перевозку с заданной датой.</w:t>
      </w:r>
    </w:p>
    <w:p>
      <w:r>
        <w:t xml:space="preserve">Утверждены вариант перевозки, состав цены и условия предложения.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Параметр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Организация и страна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Дело, договор или заказ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Версия основного документа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Владелец процесса</w:t>
            </w:r>
          </w:p>
        </w:tc>
        <w:tc>
          <w:tcPr>
            <w:tcW w:w="2400" w:type="dxa"/>
          </w:tcPr>
          <w:p>
            <w:r>
              <w:t xml:space="preserve">Коммерческий руководитель. Назначенный сотрудник ________________</w:t>
            </w:r>
          </w:p>
        </w:tc>
      </w:tr>
      <w:tr>
        <w:tc>
          <w:tcPr>
            <w:tcW w:w="2400" w:type="dxa"/>
          </w:tcPr>
          <w:p>
            <w:r>
              <w:t xml:space="preserve">Дата и предел действия решения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Исходные данные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Поле</w:t>
            </w:r>
          </w:p>
        </w:tc>
        <w:tc>
          <w:tcPr>
            <w:tcW w:w="2400" w:type="dxa"/>
          </w:tcPr>
          <w:p>
            <w:r>
              <w:t xml:space="preserve">Подсказка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Груз</w:t>
            </w:r>
          </w:p>
        </w:tc>
        <w:tc>
          <w:tcPr>
            <w:tcW w:w="2400" w:type="dxa"/>
          </w:tcPr>
          <w:p>
            <w:r>
              <w:t xml:space="preserve">Места, масса и размеры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Маршрут</w:t>
            </w:r>
          </w:p>
        </w:tc>
        <w:tc>
          <w:tcPr>
            <w:tcW w:w="2400" w:type="dxa"/>
          </w:tcPr>
          <w:p>
            <w:r>
              <w:t xml:space="preserve">Аэропорты и даты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Цена</w:t>
            </w:r>
          </w:p>
        </w:tc>
        <w:tc>
          <w:tcPr>
            <w:tcW w:w="2400" w:type="dxa"/>
          </w:tcPr>
          <w:p>
            <w:r>
              <w:t xml:space="preserve">Тариф, местные расходы и маржа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Документный комплект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Документ</w:t>
            </w:r>
          </w:p>
        </w:tc>
        <w:tc>
          <w:tcPr>
            <w:tcW w:w="2400" w:type="dxa"/>
          </w:tcPr>
          <w:p>
            <w:r>
              <w:t xml:space="preserve">Назначение</w:t>
            </w:r>
          </w:p>
        </w:tc>
        <w:tc>
          <w:tcPr>
            <w:tcW w:w="2400" w:type="dxa"/>
          </w:tcPr>
          <w:p>
            <w:r>
              <w:t xml:space="preserve">Файл и версия</w:t>
            </w:r>
          </w:p>
        </w:tc>
      </w:tr>
      <w:tr>
        <w:tc>
          <w:tcPr>
            <w:tcW w:w="2400" w:type="dxa"/>
          </w:tcPr>
          <w:p>
            <w:r>
              <w:t xml:space="preserve">Анкета груза</w:t>
            </w:r>
          </w:p>
        </w:tc>
        <w:tc>
          <w:tcPr>
            <w:tcW w:w="2400" w:type="dxa"/>
          </w:tcPr>
          <w:p>
            <w:r>
              <w:t xml:space="preserve">Места, масса, размеры и требования.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Тарифные варианты</w:t>
            </w:r>
          </w:p>
        </w:tc>
        <w:tc>
          <w:tcPr>
            <w:tcW w:w="2400" w:type="dxa"/>
          </w:tcPr>
          <w:p>
            <w:r>
              <w:t xml:space="preserve">Маршруты, источники и сроки ставок.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КП</w:t>
            </w:r>
          </w:p>
        </w:tc>
        <w:tc>
          <w:tcPr>
            <w:tcW w:w="2400" w:type="dxa"/>
          </w:tcPr>
          <w:p>
            <w:r>
              <w:t xml:space="preserve">Состав услуг, валюта и исключения.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Маршрут и контрольные вопросы</w:t>
      </w:r>
    </w:p>
    <w:p>
      <w:pPr>
        <w:pStyle w:val="Heading2"/>
      </w:pPr>
      <w:r>
        <w:t xml:space="preserve">1. Исходные данные</w:t>
      </w:r>
    </w:p>
    <w:p>
      <w:r>
        <w:t xml:space="preserve">Роли. Менеджер.</w:t>
      </w:r>
    </w:p>
    <w:p>
      <w:r>
        <w:t xml:space="preserve">Решение назначенного участника этапа.</w:t>
      </w:r>
    </w:p>
    <w:p>
      <w:r>
        <w:t xml:space="preserve">☐ Проверить груз и даты</w:t>
      </w:r>
    </w:p>
    <w:p>
      <w:r>
        <w:t xml:space="preserve">☐ Уточнить состав услуги</w:t>
      </w:r>
    </w:p>
    <w:p>
      <w:r>
        <w:t xml:space="preserve">Результат этапа. Анкета.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2. Выполнимость</w:t>
      </w:r>
    </w:p>
    <w:p>
      <w:r>
        <w:t xml:space="preserve">Роли. Авиалогист.</w:t>
      </w:r>
    </w:p>
    <w:p>
      <w:r>
        <w:t xml:space="preserve">Решение назначенного участника этапа.</w:t>
      </w:r>
    </w:p>
    <w:p>
      <w:r>
        <w:t xml:space="preserve">☐ Сопоставить тарифы</w:t>
      </w:r>
    </w:p>
    <w:p>
      <w:r>
        <w:t xml:space="preserve">☐ Проверить доступность варианта</w:t>
      </w:r>
    </w:p>
    <w:p>
      <w:r>
        <w:t xml:space="preserve">Результат этапа. Логистическое заключение.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3. Экономика</w:t>
      </w:r>
    </w:p>
    <w:p>
      <w:r>
        <w:t xml:space="preserve">Роли. Финансист.</w:t>
      </w:r>
    </w:p>
    <w:p>
      <w:r>
        <w:t xml:space="preserve">Решение назначенного участника этапа.</w:t>
      </w:r>
    </w:p>
    <w:p>
      <w:r>
        <w:t xml:space="preserve">☐ Проверить валюту и местные расходы</w:t>
      </w:r>
    </w:p>
    <w:p>
      <w:r>
        <w:t xml:space="preserve">☐ Оценить маржу</w:t>
      </w:r>
    </w:p>
    <w:p>
      <w:r>
        <w:t xml:space="preserve">Результат этапа. Расчёт.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4. Предложение</w:t>
      </w:r>
    </w:p>
    <w:p>
      <w:r>
        <w:t xml:space="preserve">Роли. Коммерческий руководитель.</w:t>
      </w:r>
    </w:p>
    <w:p>
      <w:r>
        <w:t xml:space="preserve">Решение назначенного участника этапа.</w:t>
      </w:r>
    </w:p>
    <w:p>
      <w:r>
        <w:t xml:space="preserve">☐ Утвердить цену</w:t>
      </w:r>
    </w:p>
    <w:p>
      <w:r>
        <w:t xml:space="preserve">☐ Зафиксировать срок действия и исключения</w:t>
      </w:r>
    </w:p>
    <w:p>
      <w:r>
        <w:t xml:space="preserve">Результат этапа. Версия КП.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1"/>
      </w:pPr>
      <w:r>
        <w:t xml:space="preserve">Исключения и повторное рассмотрение</w:t>
      </w:r>
    </w:p>
    <w:p>
      <w:r>
        <w:t xml:space="preserve">Условия ниже проверяют сотрудники. В запуске АА.Докс не включено автоматическое условное ветвление.</w:t>
      </w:r>
    </w:p>
    <w:p>
      <w:pPr>
        <w:pStyle w:val="Heading2"/>
      </w:pPr>
      <w:r>
        <w:t xml:space="preserve">Обмер изменил параметры.</w:t>
      </w:r>
    </w:p>
    <w:p>
      <w:r>
        <w:t xml:space="preserve">Сохранить исходный расчёт и повторно согласовать цену.</w:t>
      </w:r>
    </w:p>
    <w:p>
      <w:r>
        <w:t xml:space="preserve">Ответственный. Авиалогист.</w:t>
      </w:r>
    </w:p>
    <w:p>
      <w:r>
        <w:t xml:space="preserve">Принятое действие и новая версия ________________.</w:t>
      </w:r>
    </w:p>
    <w:p>
      <w:pPr>
        <w:pStyle w:val="Heading2"/>
      </w:pPr>
      <w:r>
        <w:t xml:space="preserve">Ёмкость не подтверждена.</w:t>
      </w:r>
    </w:p>
    <w:p>
      <w:r>
        <w:t xml:space="preserve">Указать статус варианта и получить подтверждение до обещания брони.</w:t>
      </w:r>
    </w:p>
    <w:p>
      <w:r>
        <w:t xml:space="preserve">Ответственный. Менеджер.</w:t>
      </w:r>
    </w:p>
    <w:p>
      <w:r>
        <w:t xml:space="preserve">Принятое действие и новая версия ________________.</w:t>
      </w:r>
    </w:p>
    <w:p>
      <w:pPr>
        <w:pStyle w:val="Heading1"/>
      </w:pPr>
      <w:r>
        <w:t xml:space="preserve">Журнал изменений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Версия и дата</w:t>
            </w:r>
          </w:p>
        </w:tc>
        <w:tc>
          <w:tcPr>
            <w:tcW w:w="2400" w:type="dxa"/>
          </w:tcPr>
          <w:p>
            <w:r>
              <w:t xml:space="preserve">Что изменено</w:t>
            </w:r>
          </w:p>
        </w:tc>
        <w:tc>
          <w:tcPr>
            <w:tcW w:w="2400" w:type="dxa"/>
          </w:tcPr>
          <w:p>
            <w:r>
              <w:t xml:space="preserve">Повторное решение</w:t>
            </w:r>
          </w:p>
        </w:tc>
      </w:tr>
      <w:tr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Итог решения и внешние подтверждения</w:t>
      </w:r>
    </w:p>
    <w:p>
      <w:r>
        <w:t xml:space="preserve">Согласованная версия ________________. Принятая часть ________________. Открытые вопросы ________________.</w:t>
      </w:r>
    </w:p>
    <w:p>
      <w:r>
        <w:t xml:space="preserve">Подтверждение контрагента, если требуется ________________. Исполнение решения и подтверждающий документ ________________.</w:t>
      </w:r>
    </w:p>
    <w:p>
      <w:r>
        <w:t xml:space="preserve">Внешнюю роль в АА.Докс назначают сотруднику, который собирает подтверждение внешней стороны. Внутреннее согласование не заменяет её решение.</w:t>
      </w:r>
    </w:p>
    <w:p>
      <w:pPr>
        <w:pStyle w:val="Heading1"/>
      </w:pPr>
      <w:r>
        <w:t xml:space="preserve">Метрики</w:t>
      </w:r>
    </w:p>
    <w:p>
      <w:r>
        <w:t xml:space="preserve">Полнота основания решения. Завершённые дела с исходной версией, подтверждениями и итоговым документом / все завершённые дела сценария.</w:t>
      </w:r>
    </w:p>
    <w:p>
      <w:r>
        <w:t xml:space="preserve">Доля возвратов. Число завершённых согласований с хотя бы одним возвратом / число завершённых согласований за период. Повторные возвраты одного дела не увеличивают числитель.</w:t>
      </w:r>
    </w:p>
    <w:p>
      <w:pPr>
        <w:pStyle w:val="Heading1"/>
      </w:pPr>
      <w:r>
        <w:t xml:space="preserve">Границы применения</w:t>
      </w:r>
    </w:p>
    <w:p>
      <w:r>
        <w:t xml:space="preserve">Внутреннее КП не является подтверждением принятия груза авиакомпанией.</w:t>
      </w:r>
    </w:p>
    <w:p>
      <w:r>
        <w:t xml:space="preserve">Согласование документа не подтверждает автоматически подпись сторон, оплату, физическое исполнение или разрешение. Лимиты и сроки определяет организация.</w:t>
      </w:r>
    </w:p>
    <w:p>
      <w:pPr>
        <w:pStyle w:val="Heading1"/>
      </w:pPr>
      <w:r>
        <w:t xml:space="preserve">Источники и актуальная версия</w:t>
      </w:r>
    </w:p>
    <w:p>
      <w:r>
        <w:t xml:space="preserve">cargo.one. Air freight solutions. Проверено 2026-09-16.</w:t>
      </w:r>
    </w:p>
    <w:p>
      <w:r>
        <w:t xml:space="preserve">https://www.cargo.one/forwarders/solutions/air</w:t>
      </w:r>
    </w:p>
    <w:p>
      <w:r>
        <w:t xml:space="preserve">Ставки и бронирование. Официальное описание функций. Доли рынка и готовая интеграция с АА.Докс не установлены.</w:t>
      </w:r>
    </w:p>
    <w:p>
      <w:r>
        <w:t xml:space="preserve">CargoAi. CargoMART. Проверено 2026-09-16.</w:t>
      </w:r>
    </w:p>
    <w:p>
      <w:r>
        <w:t xml:space="preserve">https://www.cargoai.co/products/cargomart/</w:t>
      </w:r>
    </w:p>
    <w:p>
      <w:r>
        <w:t xml:space="preserve">Местные расходы, маржа и предложения. Официальное описание функций. Доли рынка и готовая интеграция с АА.Докс не установлены.</w:t>
      </w:r>
    </w:p>
    <w:p>
      <w:r>
        <w:t xml:space="preserve">Страница маршрута</w:t>
      </w:r>
    </w:p>
    <w:p>
      <w:r>
        <w:t xml:space="preserve">https://aadocs.ru/otrasli/air-cargo/air-quote</w:t>
      </w:r>
    </w:p>
    <w:p>
      <w:r>
        <w:t xml:space="preserve">Запуск с назначением участников</w:t>
      </w:r>
    </w:p>
    <w:p>
      <w:r>
        <w:t xml:space="preserve">https://app.aadocs.ru/processes/catalog/air-cargo/air-quote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lang w:val="ru-RU"/>
      </w:rPr>
    </w:rPrDefault>
    <w:pPrDefault>
      <w:pPr>
        <w:spacing w:after="120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keepNext/>
      <w:spacing w:before="240" w:after="120"/>
    </w:pPr>
    <w:rPr>
      <w:b/>
      <w:sz w:val="36"/>
    </w:rPr>
  </w:style>
  <w:style w:type="paragraph" w:styleId="Subtitle">
    <w:name w:val="Subtitle"/>
    <w:basedOn w:val="Normal"/>
    <w:pPr>
      <w:keepNext/>
      <w:spacing w:before="240" w:after="120"/>
    </w:pPr>
    <w:rPr>
      <w:b/>
      <w:sz w:val="26"/>
    </w:rPr>
  </w:style>
  <w:style w:type="paragraph" w:styleId="Heading1">
    <w:name w:val="Heading1"/>
    <w:basedOn w:val="Normal"/>
    <w:pPr>
      <w:keepNext/>
      <w:spacing w:before="240" w:after="120"/>
    </w:pPr>
    <w:rPr>
      <w:b/>
      <w:sz w:val="28"/>
    </w:rPr>
  </w:style>
  <w:style w:type="paragraph" w:styleId="Heading2">
    <w:name w:val="Heading2"/>
    <w:basedOn w:val="Normal"/>
    <w:pPr>
      <w:keepNext/>
      <w:spacing w:before="240" w:after="120"/>
    </w:pPr>
    <w:rPr>
      <w:b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/Relationships>
</file>