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Утверждение опытной рецептуры</w:t>
      </w:r>
    </w:p>
    <w:p>
      <w:pPr>
        <w:pStyle w:val="Subtitle"/>
      </w:pPr>
      <w:r>
        <w:t xml:space="preserve">Химическое производство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Завершена разработка или испытание опытной партии.</w:t>
      </w:r>
    </w:p>
    <w:p>
      <w:r>
        <w:t xml:space="preserve">Зафиксированы результат оценки и версия спецификации для следующего заказа.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разработки.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Образец</w:t>
            </w:r>
          </w:p>
        </w:tc>
        <w:tc>
          <w:tcPr>
            <w:tcW w:w="2400" w:type="dxa"/>
          </w:tcPr>
          <w:p>
            <w:r>
              <w:t xml:space="preserve">Идентификатор и дата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Рецептура</w:t>
            </w:r>
          </w:p>
        </w:tc>
        <w:tc>
          <w:tcPr>
            <w:tcW w:w="2400" w:type="dxa"/>
          </w:tcPr>
          <w:p>
            <w:r>
              <w:t xml:space="preserve">Номер версии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Решение</w:t>
            </w:r>
          </w:p>
        </w:tc>
        <w:tc>
          <w:tcPr>
            <w:tcW w:w="2400" w:type="dxa"/>
          </w:tcPr>
          <w:p>
            <w:r>
              <w:t xml:space="preserve">Доработка, повторное испытание или переход к заказу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Техническое задание</w:t>
            </w:r>
          </w:p>
        </w:tc>
        <w:tc>
          <w:tcPr>
            <w:tcW w:w="2400" w:type="dxa"/>
          </w:tcPr>
          <w:p>
            <w:r>
              <w:t xml:space="preserve">Определяет критерии образца.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Протокол испытаний</w:t>
            </w:r>
          </w:p>
        </w:tc>
        <w:tc>
          <w:tcPr>
            <w:tcW w:w="2400" w:type="dxa"/>
          </w:tcPr>
          <w:p>
            <w:r>
              <w:t xml:space="preserve">Содержит результаты и метод.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рецептуры и заключение</w:t>
            </w:r>
          </w:p>
        </w:tc>
        <w:tc>
          <w:tcPr>
            <w:tcW w:w="2400" w:type="dxa"/>
          </w:tcPr>
          <w:p>
            <w:r>
              <w:t xml:space="preserve">Связывает образец с составом и решением.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Идентификация образца</w:t>
      </w:r>
    </w:p>
    <w:p>
      <w:r>
        <w:t xml:space="preserve">Роли. Технолог.</w:t>
      </w:r>
    </w:p>
    <w:p>
      <w:r>
        <w:t xml:space="preserve">Решение назначенного участника этапа.</w:t>
      </w:r>
    </w:p>
    <w:p>
      <w:r>
        <w:t xml:space="preserve">☐ Сверить версию и сырьё</w:t>
      </w:r>
    </w:p>
    <w:p>
      <w:r>
        <w:t xml:space="preserve">☐ Связать протокол с образцом</w:t>
      </w:r>
    </w:p>
    <w:p>
      <w:r>
        <w:t xml:space="preserve">Результат этапа. Однозначный пакет.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Оценка показателей</w:t>
      </w:r>
    </w:p>
    <w:p>
      <w:r>
        <w:t xml:space="preserve">Роли. Руководитель качества.</w:t>
      </w:r>
    </w:p>
    <w:p>
      <w:r>
        <w:t xml:space="preserve">Решение назначенного участника этапа.</w:t>
      </w:r>
    </w:p>
    <w:p>
      <w:r>
        <w:t xml:space="preserve">☐ Сопоставить результаты с заданием</w:t>
      </w:r>
    </w:p>
    <w:p>
      <w:r>
        <w:t xml:space="preserve">☐ Зафиксировать отклонения</w:t>
      </w:r>
    </w:p>
    <w:p>
      <w:r>
        <w:t xml:space="preserve">Результат этапа. Заключение качества.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Подтверждение заказчика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Получить оценку образца</w:t>
      </w:r>
    </w:p>
    <w:p>
      <w:r>
        <w:t xml:space="preserve">☐ Приложить подтверждение условий</w:t>
      </w:r>
    </w:p>
    <w:p>
      <w:r>
        <w:t xml:space="preserve">Результат этапа. Решение заказчика.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Следующий этап</w:t>
      </w:r>
    </w:p>
    <w:p>
      <w:r>
        <w:t xml:space="preserve">Роли. Руководитель разработки.</w:t>
      </w:r>
    </w:p>
    <w:p>
      <w:r>
        <w:t xml:space="preserve">Решение назначенного участника этапа.</w:t>
      </w:r>
    </w:p>
    <w:p>
      <w:r>
        <w:t xml:space="preserve">☐ Утвердить спецификацию или доработку</w:t>
      </w:r>
    </w:p>
    <w:p>
      <w:r>
        <w:t xml:space="preserve">☐ Отделить стоимость разработки от серии</w:t>
      </w:r>
    </w:p>
    <w:p>
      <w:r>
        <w:t xml:space="preserve">Результат этапа. Решение по развитию продукта.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Один показатель не подтверждён.</w:t>
      </w:r>
    </w:p>
    <w:p>
      <w:r>
        <w:t xml:space="preserve">Назначить повторное испытание или доработку с отдельным протоколом.</w:t>
      </w:r>
    </w:p>
    <w:p>
      <w:r>
        <w:t xml:space="preserve">Ответственный. Руководитель качества.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В серии планируется иное сырьё.</w:t>
      </w:r>
    </w:p>
    <w:p>
      <w:r>
        <w:t xml:space="preserve">Оценить влияние замены и необходимость нового образца.</w:t>
      </w:r>
    </w:p>
    <w:p>
      <w:r>
        <w:t xml:space="preserve">Ответственный. Технолог.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Повторные испытания. Образцы с повторной оценкой / все рассмотренные образцы.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Утверждение образца не заменяет контроль серийной партии и не создаёт автоматически заказ.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Проект автоматизации Неохим. Проверено 2026-09-16.</w:t>
      </w:r>
    </w:p>
    <w:p>
      <w:r>
        <w:t xml:space="preserve">https://eawards.1c.ru/projects/vnedrenie-1s-erp-red-25--konsolidaciya-ucheta-i-avtomatizaciya-biznes-processov-u-krupneyshego-rossiyskogo-proizvoditelya-himicheskoy-produkcii-ooo-neohim-398613/</w:t>
      </w:r>
    </w:p>
    <w:p>
      <w:r>
        <w:t xml:space="preserve">Связь лабораторных испытаний и документов качества. Подтверждена доработка конкретного предприятия, а не стандартная функция каждой установки.</w:t>
      </w:r>
    </w:p>
    <w:p>
      <w:r>
        <w:t xml:space="preserve">Infor. ERP for Chemicals. Проверено 2026-09-16.</w:t>
      </w:r>
    </w:p>
    <w:p>
      <w:r>
        <w:t xml:space="preserve">https://www.infor.com/solutions/erp/chemicals</w:t>
      </w:r>
    </w:p>
    <w:p>
      <w:r>
        <w:t xml:space="preserve">Рецептуры, контроль качества и управление затратами.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https://aadocs.ru/otrasli/chemicals/chemical-sample</w:t>
      </w:r>
    </w:p>
    <w:p>
      <w:r>
        <w:t xml:space="preserve">Запуск с назначением участников</w:t>
      </w:r>
    </w:p>
    <w:p>
      <w:r>
        <w:t xml:space="preserve">https://app.aadocs.ru/processes/catalog/chemicals/chemical-sample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