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Задание на контрактное смешение и фасовку</w:t>
      </w:r>
    </w:p>
    <w:p>
      <w:pPr>
        <w:pStyle w:val="Subtitle"/>
      </w:pPr>
      <w:r>
        <w:t xml:space="preserve">Химическое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передаёт сырьё или поручает изготовление по своей спецификации.</w:t>
      </w:r>
    </w:p>
    <w:p>
      <w:r>
        <w:t xml:space="preserve">Согласованы версия задания, ответственность за материалы и расчёт услуги.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Материалы</w:t>
            </w:r>
          </w:p>
        </w:tc>
        <w:tc>
          <w:tcPr>
            <w:tcW w:w="2400" w:type="dxa"/>
          </w:tcPr>
          <w:p>
            <w:r>
              <w:t xml:space="preserve">Собственные или давальческие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Выход</w:t>
            </w:r>
          </w:p>
        </w:tc>
        <w:tc>
          <w:tcPr>
            <w:tcW w:w="2400" w:type="dxa"/>
          </w:tcPr>
          <w:p>
            <w:r>
              <w:t xml:space="preserve">Согласованное количество и метод учёта потерь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Редакция</w:t>
            </w:r>
          </w:p>
        </w:tc>
        <w:tc>
          <w:tcPr>
            <w:tcW w:w="2400" w:type="dxa"/>
          </w:tcPr>
          <w:p>
            <w:r>
              <w:t xml:space="preserve">Номер задания и основание изменения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Договор переработки</w:t>
            </w:r>
          </w:p>
        </w:tc>
        <w:tc>
          <w:tcPr>
            <w:tcW w:w="2400" w:type="dxa"/>
          </w:tcPr>
          <w:p>
            <w:r>
              <w:t xml:space="preserve">Разделяет обязанности сторон.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Задание на партию</w:t>
            </w:r>
          </w:p>
        </w:tc>
        <w:tc>
          <w:tcPr>
            <w:tcW w:w="2400" w:type="dxa"/>
          </w:tcPr>
          <w:p>
            <w:r>
              <w:t xml:space="preserve">Фиксирует состав, операции и упаковку.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Баланс сырья</w:t>
            </w:r>
          </w:p>
        </w:tc>
        <w:tc>
          <w:tcPr>
            <w:tcW w:w="2400" w:type="dxa"/>
          </w:tcPr>
          <w:p>
            <w:r>
              <w:t xml:space="preserve">Показывает плановый расход, выход и остатки.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заказа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договор и задание</w:t>
      </w:r>
    </w:p>
    <w:p>
      <w:r>
        <w:t xml:space="preserve">☐ Указать владельца сырья</w:t>
      </w:r>
    </w:p>
    <w:p>
      <w:r>
        <w:t xml:space="preserve">Результат этапа. Досье заказа.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Технологические условия</w:t>
      </w:r>
    </w:p>
    <w:p>
      <w:r>
        <w:t xml:space="preserve">Роли. Технолог, Руководитель качества.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операции и совместимость</w:t>
      </w:r>
    </w:p>
    <w:p>
      <w:r>
        <w:t xml:space="preserve">☐ Согласовать контроль</w:t>
      </w:r>
    </w:p>
    <w:p>
      <w:r>
        <w:t xml:space="preserve">Результат этапа. Подтверждённое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Материалы и стоимость</w:t>
      </w:r>
    </w:p>
    <w:p>
      <w:r>
        <w:t xml:space="preserve">Роли. Снабженец, Экономист.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обеспеченность</w:t>
      </w:r>
    </w:p>
    <w:p>
      <w:r>
        <w:t xml:space="preserve">☐ Рассчитать услуги и остатки</w:t>
      </w:r>
    </w:p>
    <w:p>
      <w:r>
        <w:t xml:space="preserve">Результат этапа. Баланс и стоимость.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по партии</w:t>
      </w:r>
    </w:p>
    <w:p>
      <w:r>
        <w:t xml:space="preserve">Роли. Руководитель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Утвердить версию</w:t>
      </w:r>
    </w:p>
    <w:p>
      <w:r>
        <w:t xml:space="preserve">☐ Зафиксировать условия начала</w:t>
      </w:r>
    </w:p>
    <w:p>
      <w:r>
        <w:t xml:space="preserve">Результат этапа. Согласованное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Компонент заменён.</w:t>
      </w:r>
    </w:p>
    <w:p>
      <w:r>
        <w:t xml:space="preserve">Обновить спецификацию и подтвердить совместимость до исполнения.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Сырьё заказчика не принято по качеству.</w:t>
      </w:r>
    </w:p>
    <w:p>
      <w:r>
        <w:t xml:space="preserve">Оформить расхождение и получить решение по замене или возврату.</w:t>
      </w:r>
    </w:p>
    <w:p>
      <w:r>
        <w:t xml:space="preserve">Ответственный. Руководитель качества.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Задания с согласованным балансом. Задания с владельцем сырья, выходом и остатками / все задания.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согласует документ. Производственный допуск и физический запуск подтверждаются уполномоченными службами.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Проект автоматизации Неохим. Проверено 2026-09-16.</w:t>
      </w:r>
    </w:p>
    <w:p>
      <w:r>
        <w:t xml:space="preserve">https://eawards.1c.ru/projects/vnedrenie-1s-erp-red-25--konsolidaciya-ucheta-i-avtomatizaciya-biznes-processov-u-krupneyshego-rossiyskogo-proizvoditelya-himicheskoy-produkcii-ooo-neohim-398613/</w:t>
      </w:r>
    </w:p>
    <w:p>
      <w:r>
        <w:t xml:space="preserve">Связь лабораторных испытаний и документов качества. Подтверждена доработка конкретного предприятия, а не стандартная функция каждой установки.</w:t>
      </w:r>
    </w:p>
    <w:p>
      <w:r>
        <w:t xml:space="preserve">Галактика. Галактика ERP. Проверено 2026-09-16.</w:t>
      </w:r>
    </w:p>
    <w:p>
      <w:r>
        <w:t xml:space="preserve">https://galaktika.ru/erp</w:t>
      </w:r>
    </w:p>
    <w:p>
      <w:r>
        <w:t xml:space="preserve">Заказы, спецификации, качество и давальческие операции.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https://aadocs.ru/otrasli/chemicals/chemical-tolling</w:t>
      </w:r>
    </w:p>
    <w:p>
      <w:r>
        <w:t xml:space="preserve">Запуск с назначением участников</w:t>
      </w:r>
    </w:p>
    <w:p>
      <w:r>
        <w:t xml:space="preserve">https://app.aadocs.ru/processes/catalog/chemicals/chemical-tolling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