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Дополнительные работы и изменение проекта</w:t>
      </w:r>
    </w:p>
    <w:p>
      <w:pPr>
        <w:pStyle w:val="Subtitle"/>
      </w:pPr>
      <w:r>
        <w:t xml:space="preserve">Строительство и девелопмент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Поступил запрос на работы за пределами согласованного объёма.</w:t>
      </w:r>
    </w:p>
    <w:p>
      <w:r>
        <w:t xml:space="preserve">Утверждена дельта технического решения, стоимости и графика для договорного оформления.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проекта.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Номер изменения</w:t>
            </w:r>
          </w:p>
        </w:tc>
        <w:tc>
          <w:tcPr>
            <w:tcW w:w="2400" w:type="dxa"/>
          </w:tcPr>
          <w:p>
            <w:r>
              <w:t xml:space="preserve">CH-014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Затронутый договор</w:t>
            </w:r>
          </w:p>
        </w:tc>
        <w:tc>
          <w:tcPr>
            <w:tcW w:w="2400" w:type="dxa"/>
          </w:tcPr>
          <w:p>
            <w:r>
              <w:t xml:space="preserve">Договор и лот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Влияние на срок</w:t>
            </w:r>
          </w:p>
        </w:tc>
        <w:tc>
          <w:tcPr>
            <w:tcW w:w="2400" w:type="dxa"/>
          </w:tcPr>
          <w:p>
            <w:r>
              <w:t xml:space="preserve">Дни и зависимость от критического пути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Основание изменения</w:t>
            </w:r>
          </w:p>
        </w:tc>
        <w:tc>
          <w:tcPr>
            <w:tcW w:w="2400" w:type="dxa"/>
          </w:tcPr>
          <w:p>
            <w:r>
              <w:t xml:space="preserve">Запрос заказчика, замечание или новая редакция проекта.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Сравнительная ведомость</w:t>
            </w:r>
          </w:p>
        </w:tc>
        <w:tc>
          <w:tcPr>
            <w:tcW w:w="2400" w:type="dxa"/>
          </w:tcPr>
          <w:p>
            <w:r>
              <w:t xml:space="preserve">Показывает добавленные и исключённые объёмы.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дельты и график</w:t>
            </w:r>
          </w:p>
        </w:tc>
        <w:tc>
          <w:tcPr>
            <w:tcW w:w="2400" w:type="dxa"/>
          </w:tcPr>
          <w:p>
            <w:r>
              <w:t xml:space="preserve">Отделяет стоимость изменения от исходного обязательства.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Техническая допустимость</w:t>
      </w:r>
    </w:p>
    <w:p>
      <w:r>
        <w:t xml:space="preserve">Роли. Проектировщик, Технический заказчик.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совместимость решения</w:t>
      </w:r>
    </w:p>
    <w:p>
      <w:r>
        <w:t xml:space="preserve">☐ Зафиксировать основание и редакцию</w:t>
      </w:r>
    </w:p>
    <w:p>
      <w:r>
        <w:t xml:space="preserve">Результат этапа. Согласованное техническое решение.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Стоимость и сроки</w:t>
      </w:r>
    </w:p>
    <w:p>
      <w:r>
        <w:t xml:space="preserve">Роли. Сметчик, Планировщик.</w:t>
      </w:r>
    </w:p>
    <w:p>
      <w:r>
        <w:t xml:space="preserve">Нужны решения всех назначенных участников этапа.</w:t>
      </w:r>
    </w:p>
    <w:p>
      <w:r>
        <w:t xml:space="preserve">☐ Исключить уже оплаченные объёмы</w:t>
      </w:r>
    </w:p>
    <w:p>
      <w:r>
        <w:t xml:space="preserve">☐ Оценить изменение графика</w:t>
      </w:r>
    </w:p>
    <w:p>
      <w:r>
        <w:t xml:space="preserve">Результат этапа. Сравнение исходного и нового обязательства.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Источник бюджета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Подтвердить бюджет изменения</w:t>
      </w:r>
    </w:p>
    <w:p>
      <w:r>
        <w:t xml:space="preserve">☐ Проверить денежный график</w:t>
      </w:r>
    </w:p>
    <w:p>
      <w:r>
        <w:t xml:space="preserve">Результат этапа. Решение об источнике финансирования.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Договорное оформление</w:t>
      </w:r>
    </w:p>
    <w:p>
      <w:r>
        <w:t xml:space="preserve">Роли. Юрист, Уполномоченный руководитель.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формулировки дополнения</w:t>
      </w:r>
    </w:p>
    <w:p>
      <w:r>
        <w:t xml:space="preserve">☐ Разрешить подписание согласованной дельты</w:t>
      </w:r>
    </w:p>
    <w:p>
      <w:r>
        <w:t xml:space="preserve">Результат этапа. Дополнение готово к подписанию.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Работы уже начаты без согласования.</w:t>
      </w:r>
    </w:p>
    <w:p>
      <w:r>
        <w:t xml:space="preserve">Зафиксировать фактическое событие и вынести отдельное решение без заднего числа.</w:t>
      </w:r>
    </w:p>
    <w:p>
      <w:r>
        <w:t xml:space="preserve">Ответственный. Руководитель проекта.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Изменение затрагивает ранее принятые объёмы.</w:t>
      </w:r>
    </w:p>
    <w:p>
      <w:r>
        <w:t xml:space="preserve">Выделить корректировку и сверить связанные акты.</w:t>
      </w:r>
    </w:p>
    <w:p>
      <w:r>
        <w:t xml:space="preserve">Ответственный. Сметчик.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Доля изменений с полным основанием. Число изменений с техническим основанием, дельтой цены и графика / все рассмотренные изменения.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Согласование не разрешает строительные работы автоматически и не заменяет проектные процедуры. Срочность не отменяет фиксацию основания.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ГРАНД-Смета. Возможности версии ГРАНД-Сметы. Проверено 2026-09-14.</w:t>
      </w:r>
    </w:p>
    <w:p>
      <w:r>
        <w:t xml:space="preserve">https://www.grandsmeta.ru/whatisthenewversion</w:t>
      </w:r>
    </w:p>
    <w:p>
      <w:r>
        <w:t xml:space="preserve">Сметы, ведомости объёмов, обосновывающие документы и выпуск актов. Официальное описание функций. Доли рынка и готовая интеграция с АА.Докс не установлены.</w:t>
      </w:r>
    </w:p>
    <w:p>
      <w:r>
        <w:t xml:space="preserve">Autodesk. Collaborative Potential Change Order Workflow. Проверено 2026-09-14.</w:t>
      </w:r>
    </w:p>
    <w:p>
      <w:r>
        <w:t xml:space="preserve">https://help.autodesk.com/cloudhelp/ENG/Build-Cost/files/change-orders/potential-change-orders/Cost_Collaborative_PCO_workflow.html</w:t>
      </w:r>
    </w:p>
    <w:p>
      <w:r>
        <w:t xml:space="preserve">Запрос цены, внутренняя проверка и принятие изменения заказчиком.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https://aadocs.ru/otrasli/construction/change-order</w:t>
      </w:r>
    </w:p>
    <w:p>
      <w:r>
        <w:t xml:space="preserve">Запуск с назначением участников</w:t>
      </w:r>
    </w:p>
    <w:p>
      <w:r>
        <w:t xml:space="preserve">https://app.aadocs.ru/processes/catalog/construction/change-order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