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Ремонт или замена энергетического актива</w:t>
      </w:r>
    </w:p>
    <w:p>
      <w:pPr>
        <w:pStyle w:val="Subtitle"/>
      </w:pPr>
      <w:r>
        <w:t xml:space="preserve">Энергетика и ресурсоснабжение</w:t>
      </w:r>
    </w:p>
    <w:p>
      <w:r>
        <w:t xml:space="preserve">Рабочий шаблон согласования АА.Докс. Редакция каталога 2026-09-16.</w:t>
      </w:r>
    </w:p>
    <w:p>
      <w:r>
        <w:t xml:space="preserve">Авторская модель для настройки в организации. Поля с подчёркиванием заполняются владельцем процесса. Примеры синтетические, готовые цены и юридические условия не установлены.</w:t>
      </w:r>
    </w:p>
    <w:p>
      <w:pPr>
        <w:pStyle w:val="Heading1"/>
      </w:pPr>
      <w:r>
        <w:t xml:space="preserve">Паспорт решения</w:t>
      </w:r>
    </w:p>
    <w:p>
      <w:r>
        <w:t xml:space="preserve">Выявлен дефект или подтверждена потребность в замене актива.</w:t>
      </w:r>
    </w:p>
    <w:p>
      <w:r>
        <w:t xml:space="preserve">Одобрено задание с объёмом, ресурсами и основаниями готовности.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Параметр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Организация и страна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Дело, договор или заказ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Версия основного документа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Владелец процесса</w:t>
            </w:r>
          </w:p>
        </w:tc>
        <w:tc>
          <w:tcPr>
            <w:tcW w:w="2400" w:type="dxa"/>
          </w:tcPr>
          <w:p>
            <w:r>
              <w:t xml:space="preserve">Технический руководитель. Назначенный сотрудник ________________</w:t>
            </w:r>
          </w:p>
        </w:tc>
      </w:tr>
      <w:tr>
        <w:tc>
          <w:tcPr>
            <w:tcW w:w="2400" w:type="dxa"/>
          </w:tcPr>
          <w:p>
            <w:r>
              <w:t xml:space="preserve">Дата и предел действия решения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Исходные данные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Поле</w:t>
            </w:r>
          </w:p>
        </w:tc>
        <w:tc>
          <w:tcPr>
            <w:tcW w:w="2400" w:type="dxa"/>
          </w:tcPr>
          <w:p>
            <w:r>
              <w:t xml:space="preserve">Подсказка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Актив</w:t>
            </w:r>
          </w:p>
        </w:tc>
        <w:tc>
          <w:tcPr>
            <w:tcW w:w="2400" w:type="dxa"/>
          </w:tcPr>
          <w:p>
            <w:r>
              <w:t xml:space="preserve">Идентификатор оборудования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Окно</w:t>
            </w:r>
          </w:p>
        </w:tc>
        <w:tc>
          <w:tcPr>
            <w:tcW w:w="2400" w:type="dxa"/>
          </w:tcPr>
          <w:p>
            <w:r>
              <w:t xml:space="preserve">Допустимый период работ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Готовность</w:t>
            </w:r>
          </w:p>
        </w:tc>
        <w:tc>
          <w:tcPr>
            <w:tcW w:w="2400" w:type="dxa"/>
          </w:tcPr>
          <w:p>
            <w:r>
              <w:t xml:space="preserve">Материалы, персонал и подтверждения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Документный комплект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Документ</w:t>
            </w:r>
          </w:p>
        </w:tc>
        <w:tc>
          <w:tcPr>
            <w:tcW w:w="2400" w:type="dxa"/>
          </w:tcPr>
          <w:p>
            <w:r>
              <w:t xml:space="preserve">Назначение</w:t>
            </w:r>
          </w:p>
        </w:tc>
        <w:tc>
          <w:tcPr>
            <w:tcW w:w="2400" w:type="dxa"/>
          </w:tcPr>
          <w:p>
            <w:r>
              <w:t xml:space="preserve">Файл и версия</w:t>
            </w:r>
          </w:p>
        </w:tc>
      </w:tr>
      <w:tr>
        <w:tc>
          <w:tcPr>
            <w:tcW w:w="2400" w:type="dxa"/>
          </w:tcPr>
          <w:p>
            <w:r>
              <w:t xml:space="preserve">Обследование</w:t>
            </w:r>
          </w:p>
        </w:tc>
        <w:tc>
          <w:tcPr>
            <w:tcW w:w="2400" w:type="dxa"/>
          </w:tcPr>
          <w:p>
            <w:r>
              <w:t xml:space="preserve">Подтверждает дефект и объект.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Технический план</w:t>
            </w:r>
          </w:p>
        </w:tc>
        <w:tc>
          <w:tcPr>
            <w:tcW w:w="2400" w:type="dxa"/>
          </w:tcPr>
          <w:p>
            <w:r>
              <w:t xml:space="preserve">Определяет работы и окно.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Смета и обеспечение</w:t>
            </w:r>
          </w:p>
        </w:tc>
        <w:tc>
          <w:tcPr>
            <w:tcW w:w="2400" w:type="dxa"/>
          </w:tcPr>
          <w:p>
            <w:r>
              <w:t xml:space="preserve">Подтверждают материалы и бюджет.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Маршрут и контрольные вопросы</w:t>
      </w:r>
    </w:p>
    <w:p>
      <w:pPr>
        <w:pStyle w:val="Heading2"/>
      </w:pPr>
      <w:r>
        <w:t xml:space="preserve">1. Основание ремонта</w:t>
      </w:r>
    </w:p>
    <w:p>
      <w:r>
        <w:t xml:space="preserve">Роли. Инженер.</w:t>
      </w:r>
    </w:p>
    <w:p>
      <w:r>
        <w:t xml:space="preserve">Решение назначенного участника этапа.</w:t>
      </w:r>
    </w:p>
    <w:p>
      <w:r>
        <w:t xml:space="preserve">☐ Приложить обследование</w:t>
      </w:r>
    </w:p>
    <w:p>
      <w:r>
        <w:t xml:space="preserve">☐ Указать техническое решение</w:t>
      </w:r>
    </w:p>
    <w:p>
      <w:r>
        <w:t xml:space="preserve">Результат этапа. Подтверждённый дефект.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2. План выполнения</w:t>
      </w:r>
    </w:p>
    <w:p>
      <w:r>
        <w:t xml:space="preserve">Роли. Эксплуатационная служба.</w:t>
      </w:r>
    </w:p>
    <w:p>
      <w:r>
        <w:t xml:space="preserve">Решение назначенного участника этапа.</w:t>
      </w:r>
    </w:p>
    <w:p>
      <w:r>
        <w:t xml:space="preserve">☐ Согласовать последовательность</w:t>
      </w:r>
    </w:p>
    <w:p>
      <w:r>
        <w:t xml:space="preserve">☐ Проверить окно и ресурсы</w:t>
      </w:r>
    </w:p>
    <w:p>
      <w:r>
        <w:t xml:space="preserve">Результат этапа. Технический план.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3. Обеспечение</w:t>
      </w:r>
    </w:p>
    <w:p>
      <w:r>
        <w:t xml:space="preserve">Роли. Закупщик, Владелец бюджета.</w:t>
      </w:r>
    </w:p>
    <w:p>
      <w:r>
        <w:t xml:space="preserve">Нужны решения всех назначенных участников этапа.</w:t>
      </w:r>
    </w:p>
    <w:p>
      <w:r>
        <w:t xml:space="preserve">☐ Проверить спецификацию</w:t>
      </w:r>
    </w:p>
    <w:p>
      <w:r>
        <w:t xml:space="preserve">☐ Подтвердить стоимость и поставщика</w:t>
      </w:r>
    </w:p>
    <w:p>
      <w:r>
        <w:t xml:space="preserve">Результат этапа. Ресурсное решение.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4. Выпуск задания</w:t>
      </w:r>
    </w:p>
    <w:p>
      <w:r>
        <w:t xml:space="preserve">Роли. Технический руководитель.</w:t>
      </w:r>
    </w:p>
    <w:p>
      <w:r>
        <w:t xml:space="preserve">Решение назначенного участника этапа.</w:t>
      </w:r>
    </w:p>
    <w:p>
      <w:r>
        <w:t xml:space="preserve">☐ Проверить комплект готовности</w:t>
      </w:r>
    </w:p>
    <w:p>
      <w:r>
        <w:t xml:space="preserve">☐ Утвердить задание</w:t>
      </w:r>
    </w:p>
    <w:p>
      <w:r>
        <w:t xml:space="preserve">Результат этапа. Разрешение на передачу в диспетчеризацию.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1"/>
      </w:pPr>
      <w:r>
        <w:t xml:space="preserve">Исключения и повторное рассмотрение</w:t>
      </w:r>
    </w:p>
    <w:p>
      <w:r>
        <w:t xml:space="preserve">Условия ниже проверяют сотрудники. В запуске АА.Докс не включено автоматическое условное ветвление.</w:t>
      </w:r>
    </w:p>
    <w:p>
      <w:pPr>
        <w:pStyle w:val="Heading2"/>
      </w:pPr>
      <w:r>
        <w:t xml:space="preserve">Окно работ перенесено.</w:t>
      </w:r>
    </w:p>
    <w:p>
      <w:r>
        <w:t xml:space="preserve">Перепроверить ресурсы и технические зависимости.</w:t>
      </w:r>
    </w:p>
    <w:p>
      <w:r>
        <w:t xml:space="preserve">Ответственный. Эксплуатационная служба.</w:t>
      </w:r>
    </w:p>
    <w:p>
      <w:r>
        <w:t xml:space="preserve">Принятое действие и новая версия ________________.</w:t>
      </w:r>
    </w:p>
    <w:p>
      <w:pPr>
        <w:pStyle w:val="Heading2"/>
      </w:pPr>
      <w:r>
        <w:t xml:space="preserve">Предложена замена оборудования.</w:t>
      </w:r>
    </w:p>
    <w:p>
      <w:r>
        <w:t xml:space="preserve">Повторить техническую проверку совместимости.</w:t>
      </w:r>
    </w:p>
    <w:p>
      <w:r>
        <w:t xml:space="preserve">Ответственный. Инженер.</w:t>
      </w:r>
    </w:p>
    <w:p>
      <w:r>
        <w:t xml:space="preserve">Принятое действие и новая версия ________________.</w:t>
      </w:r>
    </w:p>
    <w:p>
      <w:pPr>
        <w:pStyle w:val="Heading1"/>
      </w:pPr>
      <w:r>
        <w:t xml:space="preserve">Журнал изменений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Версия и дата</w:t>
            </w:r>
          </w:p>
        </w:tc>
        <w:tc>
          <w:tcPr>
            <w:tcW w:w="2400" w:type="dxa"/>
          </w:tcPr>
          <w:p>
            <w:r>
              <w:t xml:space="preserve">Что изменено</w:t>
            </w:r>
          </w:p>
        </w:tc>
        <w:tc>
          <w:tcPr>
            <w:tcW w:w="2400" w:type="dxa"/>
          </w:tcPr>
          <w:p>
            <w:r>
              <w:t xml:space="preserve">Повторное решение</w:t>
            </w:r>
          </w:p>
        </w:tc>
      </w:tr>
      <w:tr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Итог решения и внешние подтверждения</w:t>
      </w:r>
    </w:p>
    <w:p>
      <w:r>
        <w:t xml:space="preserve">Согласованная версия ________________. Принятая часть ________________. Открытые вопросы ________________.</w:t>
      </w:r>
    </w:p>
    <w:p>
      <w:r>
        <w:t xml:space="preserve">Подтверждение контрагента, если требуется ________________. Исполнение решения и подтверждающий документ ________________.</w:t>
      </w:r>
    </w:p>
    <w:p>
      <w:r>
        <w:t xml:space="preserve">Внешнюю роль в АА.Докс назначают сотруднику, который собирает подтверждение внешней стороны. Внутреннее согласование не заменяет её решение.</w:t>
      </w:r>
    </w:p>
    <w:p>
      <w:pPr>
        <w:pStyle w:val="Heading1"/>
      </w:pPr>
      <w:r>
        <w:t xml:space="preserve">Метрики</w:t>
      </w:r>
    </w:p>
    <w:p>
      <w:r>
        <w:t xml:space="preserve">Готовность работ к окну. Задания с полным подтверждённым обеспечением до окна / все согласованные задания.</w:t>
      </w:r>
    </w:p>
    <w:p>
      <w:r>
        <w:t xml:space="preserve">Доля возвратов. Число завершённых согласований с хотя бы одним возвратом / число завершённых согласований за период. Повторные возвраты одного дела не увеличивают числитель.</w:t>
      </w:r>
    </w:p>
    <w:p>
      <w:pPr>
        <w:pStyle w:val="Heading1"/>
      </w:pPr>
      <w:r>
        <w:t xml:space="preserve">Границы применения</w:t>
      </w:r>
    </w:p>
    <w:p>
      <w:r>
        <w:t xml:space="preserve">Внутреннее согласование не заменяет наряд, допуск, переключения и диспетчерское разрешение.</w:t>
      </w:r>
    </w:p>
    <w:p>
      <w:r>
        <w:t xml:space="preserve">Согласование документа не подтверждает автоматически подпись сторон, оплату, физическое исполнение или разрешение. Лимиты и сроки определяет организация.</w:t>
      </w:r>
    </w:p>
    <w:p>
      <w:pPr>
        <w:pStyle w:val="Heading1"/>
      </w:pPr>
      <w:r>
        <w:t xml:space="preserve">Источники и актуальная версия</w:t>
      </w:r>
    </w:p>
    <w:p>
      <w:r>
        <w:t xml:space="preserve">Oracle. Work and Asset Cloud Service. Проверено 2026-09-14.</w:t>
      </w:r>
    </w:p>
    <w:p>
      <w:r>
        <w:t xml:space="preserve">https://docs.oracle.com/en/industries/utilities/work-asset-cloud-service/</w:t>
      </w:r>
    </w:p>
    <w:p>
      <w:r>
        <w:t xml:space="preserve">Активы, согласования, закупки и затраты. Официальное описание функций. Доли рынка и готовая интеграция с АА.Докс не установлены.</w:t>
      </w:r>
    </w:p>
    <w:p>
      <w:r>
        <w:t xml:space="preserve">Oracle. Utilities Field Service. Проверено 2026-09-14.</w:t>
      </w:r>
    </w:p>
    <w:p>
      <w:r>
        <w:t xml:space="preserve">https://www.oracle.com/utilities/field-service/</w:t>
      </w:r>
    </w:p>
    <w:p>
      <w:r>
        <w:t xml:space="preserve">Передача утверждённого задания в планирование и диспетчеризацию. Официальное описание функций. Доли рынка и готовая интеграция с АА.Докс не установлены.</w:t>
      </w:r>
    </w:p>
    <w:p>
      <w:r>
        <w:t xml:space="preserve">Страница маршрута</w:t>
      </w:r>
    </w:p>
    <w:p>
      <w:r>
        <w:t xml:space="preserve">https://aadocs.ru/otrasli/energy-utilities/asset-repair</w:t>
      </w:r>
    </w:p>
    <w:p>
      <w:r>
        <w:t xml:space="preserve">Запуск с назначением участников</w:t>
      </w:r>
    </w:p>
    <w:p>
      <w:r>
        <w:t xml:space="preserve">https://app.aadocs.ru/processes/catalog/energy-utilities/asset-repair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lang w:val="ru-RU"/>
      </w:rPr>
    </w:rPrDefault>
    <w:pPrDefault>
      <w:pPr>
        <w:spacing w:after="120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keepNext/>
      <w:spacing w:before="240" w:after="120"/>
    </w:pPr>
    <w:rPr>
      <w:b/>
      <w:sz w:val="36"/>
    </w:rPr>
  </w:style>
  <w:style w:type="paragraph" w:styleId="Subtitle">
    <w:name w:val="Subtitle"/>
    <w:basedOn w:val="Normal"/>
    <w:pPr>
      <w:keepNext/>
      <w:spacing w:before="240" w:after="120"/>
    </w:pPr>
    <w:rPr>
      <w:b/>
      <w:sz w:val="26"/>
    </w:rPr>
  </w:style>
  <w:style w:type="paragraph" w:styleId="Heading1">
    <w:name w:val="Heading1"/>
    <w:basedOn w:val="Normal"/>
    <w:pPr>
      <w:keepNext/>
      <w:spacing w:before="240" w:after="120"/>
    </w:pPr>
    <w:rPr>
      <w:b/>
      <w:sz w:val="28"/>
    </w:rPr>
  </w:style>
  <w:style w:type="paragraph" w:styleId="Heading2">
    <w:name w:val="Heading2"/>
    <w:basedOn w:val="Normal"/>
    <w:pPr>
      <w:keepNext/>
      <w:spacing w:before="240" w:after="120"/>
    </w:pPr>
    <w:rPr>
      <w:b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/Relationships>
</file>