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Перерасчёт спорного потребления</w:t>
      </w:r>
    </w:p>
    <w:p>
      <w:pPr>
        <w:pStyle w:val="Subtitle"/>
      </w:pPr>
      <w:r>
        <w:t xml:space="preserve">Энергетика и ресурсоснабжение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Потребитель оспорил начисление за определённый период.</w:t>
      </w:r>
    </w:p>
    <w:p>
      <w:r>
        <w:t xml:space="preserve">Утверждены основания, новая сумма и объяснение корректировки.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расчётной службы.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Период</w:t>
            </w:r>
          </w:p>
        </w:tc>
        <w:tc>
          <w:tcPr>
            <w:tcW w:w="2400" w:type="dxa"/>
          </w:tcPr>
          <w:p>
            <w:r>
              <w:t xml:space="preserve">Месяц начисления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Измерение</w:t>
            </w:r>
          </w:p>
        </w:tc>
        <w:tc>
          <w:tcPr>
            <w:tcW w:w="2400" w:type="dxa"/>
          </w:tcPr>
          <w:p>
            <w:r>
              <w:t xml:space="preserve">Первоначальные и подтверждённые данные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Основание</w:t>
            </w:r>
          </w:p>
        </w:tc>
        <w:tc>
          <w:tcPr>
            <w:tcW w:w="2400" w:type="dxa"/>
          </w:tcPr>
          <w:p>
            <w:r>
              <w:t xml:space="preserve">Причина перерасчёта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Обращение и счёт</w:t>
            </w:r>
          </w:p>
        </w:tc>
        <w:tc>
          <w:tcPr>
            <w:tcW w:w="2400" w:type="dxa"/>
          </w:tcPr>
          <w:p>
            <w:r>
              <w:t xml:space="preserve">Фиксируют спорный период.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Данные учёта</w:t>
            </w:r>
          </w:p>
        </w:tc>
        <w:tc>
          <w:tcPr>
            <w:tcW w:w="2400" w:type="dxa"/>
          </w:tcPr>
          <w:p>
            <w:r>
              <w:t xml:space="preserve">Подтверждают исходные значения.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Сравнительный расчёт</w:t>
            </w:r>
          </w:p>
        </w:tc>
        <w:tc>
          <w:tcPr>
            <w:tcW w:w="2400" w:type="dxa"/>
          </w:tcPr>
          <w:p>
            <w:r>
              <w:t xml:space="preserve">Показывает каждую корректировку.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Регистрация спора</w:t>
      </w:r>
    </w:p>
    <w:p>
      <w:r>
        <w:t xml:space="preserve">Роли. Абонентская служба.</w:t>
      </w:r>
    </w:p>
    <w:p>
      <w:r>
        <w:t xml:space="preserve">Решение назначенного участника этапа.</w:t>
      </w:r>
    </w:p>
    <w:p>
      <w:r>
        <w:t xml:space="preserve">☐ Сопоставить обращение и счёт</w:t>
      </w:r>
    </w:p>
    <w:p>
      <w:r>
        <w:t xml:space="preserve">☐ Уточнить предмет спора</w:t>
      </w:r>
    </w:p>
    <w:p>
      <w:r>
        <w:t xml:space="preserve">Результат этапа. Карточка обращения.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Проверка измерений</w:t>
      </w:r>
    </w:p>
    <w:p>
      <w:r>
        <w:t xml:space="preserve">Роли. Специалист учёта.</w:t>
      </w:r>
    </w:p>
    <w:p>
      <w:r>
        <w:t xml:space="preserve">Решение назначенного участника этапа.</w:t>
      </w:r>
    </w:p>
    <w:p>
      <w:r>
        <w:t xml:space="preserve">☐ Проверить прибор и данные</w:t>
      </w:r>
    </w:p>
    <w:p>
      <w:r>
        <w:t xml:space="preserve">☐ Подтвердить исходные параметры</w:t>
      </w:r>
    </w:p>
    <w:p>
      <w:r>
        <w:t xml:space="preserve">Результат этапа. Заключение по измерению.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Пересчёт</w:t>
      </w:r>
    </w:p>
    <w:p>
      <w:r>
        <w:t xml:space="preserve">Роли. Расчётчик.</w:t>
      </w:r>
    </w:p>
    <w:p>
      <w:r>
        <w:t xml:space="preserve">Решение назначенного участника этапа.</w:t>
      </w:r>
    </w:p>
    <w:p>
      <w:r>
        <w:t xml:space="preserve">☐ Сравнить две суммы</w:t>
      </w:r>
    </w:p>
    <w:p>
      <w:r>
        <w:t xml:space="preserve">☐ Объяснить каждое изменение</w:t>
      </w:r>
    </w:p>
    <w:p>
      <w:r>
        <w:t xml:space="preserve">Результат этапа. Расчёт корректировки.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Финансовое решение</w:t>
      </w:r>
    </w:p>
    <w:p>
      <w:r>
        <w:t xml:space="preserve">Роли. Финансовый контролер, Юрист.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основание</w:t>
      </w:r>
    </w:p>
    <w:p>
      <w:r>
        <w:t xml:space="preserve">☐ Утвердить сумму и позицию по спору</w:t>
      </w:r>
    </w:p>
    <w:p>
      <w:r>
        <w:t xml:space="preserve">Результат этапа. Комплект для корректировки.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Показания недостоверны.</w:t>
      </w:r>
    </w:p>
    <w:p>
      <w:r>
        <w:t xml:space="preserve">Не утверждать сумму до определения допустимого основания расчёта.</w:t>
      </w:r>
    </w:p>
    <w:p>
      <w:r>
        <w:t xml:space="preserve">Ответственный. Специалист учёта.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Исправляется закрытый период.</w:t>
      </w:r>
    </w:p>
    <w:p>
      <w:r>
        <w:t xml:space="preserve">Проверить связанные документы и порядок отражения.</w:t>
      </w:r>
    </w:p>
    <w:p>
      <w:r>
        <w:t xml:space="preserve">Ответственный. Финансовый контролер.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Повторные перерасчёты. Начисления с повторной корректировкой по той же причине / все исправленные начисления.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Расчёт выполняется в биллинге. АА.Докс сохраняет внутреннее решение и его основания.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1С:Биллинг, функциональность. Проверено 2026-09-14.</w:t>
      </w:r>
    </w:p>
    <w:p>
      <w:r>
        <w:t xml:space="preserve">https://solutions.1c.ru/catalog/billing/features</w:t>
      </w:r>
    </w:p>
    <w:p>
      <w:r>
        <w:t xml:space="preserve">Договоры, точки, измерения и перерасчёты. Официальное описание функций. Доли рынка и готовая интеграция с АА.Докс не установлены.</w:t>
      </w:r>
    </w:p>
    <w:p>
      <w:r>
        <w:t xml:space="preserve">1С. Карточка 1С:Биллинг. Проверено 2026-09-14.</w:t>
      </w:r>
    </w:p>
    <w:p>
      <w:r>
        <w:t xml:space="preserve">https://solutions.1c.ru/catalog/billing</w:t>
      </w:r>
    </w:p>
    <w:p>
      <w:r>
        <w:t xml:space="preserve">Актуальный продукт и ссылка на письмо о прежнем решении. Старое решение по сбыту электроэнергии не используется как текущая рекомендация.</w:t>
      </w:r>
    </w:p>
    <w:p>
      <w:r>
        <w:t xml:space="preserve">Страница маршрута</w:t>
      </w:r>
    </w:p>
    <w:p>
      <w:r>
        <w:t xml:space="preserve">https://aadocs.ru/otrasli/energy-utilities/billing-correction</w:t>
      </w:r>
    </w:p>
    <w:p>
      <w:r>
        <w:t xml:space="preserve">Запуск с назначением участников</w:t>
      </w:r>
    </w:p>
    <w:p>
      <w:r>
        <w:t xml:space="preserve">https://app.aadocs.ru/processes/catalog/energy-utilities/billing-correction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