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Проверка условий перед выдачей</w:t>
      </w:r>
    </w:p>
    <w:p>
      <w:pPr>
        <w:pStyle w:val="Subtitle"/>
      </w:pPr>
      <w:r>
        <w:t xml:space="preserve">Банки и корпоративное финансирование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Имеется решение о финансировании с условиями до исполнения.</w:t>
      </w:r>
    </w:p>
    <w:p>
      <w:r>
        <w:t xml:space="preserve">Подтверждено выполнение конкретных условий для передачи в операционный контур.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Кредитный администратор.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Решение</w:t>
            </w:r>
          </w:p>
        </w:tc>
        <w:tc>
          <w:tcPr>
            <w:tcW w:w="2400" w:type="dxa"/>
          </w:tcPr>
          <w:p>
            <w:r>
              <w:t xml:space="preserve">Номер и срок действия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Выдача</w:t>
            </w:r>
          </w:p>
        </w:tc>
        <w:tc>
          <w:tcPr>
            <w:tcW w:w="2400" w:type="dxa"/>
          </w:tcPr>
          <w:p>
            <w:r>
              <w:t xml:space="preserve">Сумма и транш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Условия</w:t>
            </w:r>
          </w:p>
        </w:tc>
        <w:tc>
          <w:tcPr>
            <w:tcW w:w="2400" w:type="dxa"/>
          </w:tcPr>
          <w:p>
            <w:r>
              <w:t xml:space="preserve">Перечень подтверждённых пунктов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Решение</w:t>
            </w:r>
          </w:p>
        </w:tc>
        <w:tc>
          <w:tcPr>
            <w:tcW w:w="2400" w:type="dxa"/>
          </w:tcPr>
          <w:p>
            <w:r>
              <w:t xml:space="preserve">Определяет разрешённые параметры.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Договоры</w:t>
            </w:r>
          </w:p>
        </w:tc>
        <w:tc>
          <w:tcPr>
            <w:tcW w:w="2400" w:type="dxa"/>
          </w:tcPr>
          <w:p>
            <w:r>
              <w:t xml:space="preserve">Фиксируют оформленные обязательства.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Подтверждения условий</w:t>
            </w:r>
          </w:p>
        </w:tc>
        <w:tc>
          <w:tcPr>
            <w:tcW w:w="2400" w:type="dxa"/>
          </w:tcPr>
          <w:p>
            <w:r>
              <w:t xml:space="preserve">Доказывают готовность по каждому пункту.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Параметры исполнения</w:t>
      </w:r>
    </w:p>
    <w:p>
      <w:r>
        <w:t xml:space="preserve">Роли. Кредитный администратор.</w:t>
      </w:r>
    </w:p>
    <w:p>
      <w:r>
        <w:t xml:space="preserve">Решение назначенного участника этапа.</w:t>
      </w:r>
    </w:p>
    <w:p>
      <w:r>
        <w:t xml:space="preserve">☐ Сверить сумму и срок</w:t>
      </w:r>
    </w:p>
    <w:p>
      <w:r>
        <w:t xml:space="preserve">☐ Собрать условия решения</w:t>
      </w:r>
    </w:p>
    <w:p>
      <w:r>
        <w:t xml:space="preserve">Результат этапа. Контрольный перечень.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Юридический комплект</w:t>
      </w:r>
    </w:p>
    <w:p>
      <w:r>
        <w:t xml:space="preserve">Роли. Юрист.</w:t>
      </w:r>
    </w:p>
    <w:p>
      <w:r>
        <w:t xml:space="preserve">Решение назначенного участника этапа.</w:t>
      </w:r>
    </w:p>
    <w:p>
      <w:r>
        <w:t xml:space="preserve">☐ Проверить подписанные редакции</w:t>
      </w:r>
    </w:p>
    <w:p>
      <w:r>
        <w:t xml:space="preserve">☐ Сверить полномочия сторон</w:t>
      </w:r>
    </w:p>
    <w:p>
      <w:r>
        <w:t xml:space="preserve">Результат этапа. Заключение по документам.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Выполнение условий</w:t>
      </w:r>
    </w:p>
    <w:p>
      <w:r>
        <w:t xml:space="preserve">Роли. Риск-специалист.</w:t>
      </w:r>
    </w:p>
    <w:p>
      <w:r>
        <w:t xml:space="preserve">Решение назначенного участника этапа.</w:t>
      </w:r>
    </w:p>
    <w:p>
      <w:r>
        <w:t xml:space="preserve">☐ Проверить подтверждения</w:t>
      </w:r>
    </w:p>
    <w:p>
      <w:r>
        <w:t xml:space="preserve">☐ Зафиксировать неисполненные пункты</w:t>
      </w:r>
    </w:p>
    <w:p>
      <w:r>
        <w:t xml:space="preserve">Результат этапа. Статус условий.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Передача в операции</w:t>
      </w:r>
    </w:p>
    <w:p>
      <w:r>
        <w:t xml:space="preserve">Роли. Уполномоченный руководитель.</w:t>
      </w:r>
    </w:p>
    <w:p>
      <w:r>
        <w:t xml:space="preserve">Решение назначенного участника этапа.</w:t>
      </w:r>
    </w:p>
    <w:p>
      <w:r>
        <w:t xml:space="preserve">☐ Сверить действительность решения</w:t>
      </w:r>
    </w:p>
    <w:p>
      <w:r>
        <w:t xml:space="preserve">☐ Одобрить комплект к обработке</w:t>
      </w:r>
    </w:p>
    <w:p>
      <w:r>
        <w:t xml:space="preserve">Результат этапа. Основание операционного действия.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Срок решения истёк.</w:t>
      </w:r>
    </w:p>
    <w:p>
      <w:r>
        <w:t xml:space="preserve">Получить новое решение до обработки.</w:t>
      </w:r>
    </w:p>
    <w:p>
      <w:r>
        <w:t xml:space="preserve">Ответственный. Кредитный администратор.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Условие не выполнено.</w:t>
      </w:r>
    </w:p>
    <w:p>
      <w:r>
        <w:t xml:space="preserve">Не отмечать готовность, вынести вопрос на уполномоченное рассмотрение.</w:t>
      </w:r>
    </w:p>
    <w:p>
      <w:r>
        <w:t xml:space="preserve">Ответственный. Риск-специалист.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Исполнения с полным основанием. Транши с документированным выполнением условий / все обработанные транши.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Не выдаёт кредит, не переводит деньги и не изменяет записи АБС.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Диасофт. Кредитный конвейер. Проверено 2026-09-14.</w:t>
      </w:r>
    </w:p>
    <w:p>
      <w:r>
        <w:t xml:space="preserve">https://www.diasoft.ru/banks/solutions/retail/kreditny-konveyer/</w:t>
      </w:r>
    </w:p>
    <w:p>
      <w:r>
        <w:t xml:space="preserve">Корпоративное кредитование, решения и мониторинг обязательств. Официальное описание функций. Доли рынка и готовая интеграция с АА.Докс не установлены.</w:t>
      </w:r>
    </w:p>
    <w:p>
      <w:r>
        <w:t xml:space="preserve">ЦФТ. Инвестиционный кредит. Проверено 2026-09-14.</w:t>
      </w:r>
    </w:p>
    <w:p>
      <w:r>
        <w:t xml:space="preserve">https://catalog.cft.ru/products/card/906</w:t>
      </w:r>
    </w:p>
    <w:p>
      <w:r>
        <w:t xml:space="preserve">Карточка банковского продукта для финансирования проекта. Каталог подтверждает предмет продукта, но не универсальный маршрут согласования.</w:t>
      </w:r>
    </w:p>
    <w:p>
      <w:r>
        <w:t xml:space="preserve">Страница маршрута</w:t>
      </w:r>
    </w:p>
    <w:p>
      <w:r>
        <w:t xml:space="preserve">https://aadocs.ru/otrasli/financial-services/disbursement-readiness</w:t>
      </w:r>
    </w:p>
    <w:p>
      <w:r>
        <w:t xml:space="preserve">Запуск с назначением участников</w:t>
      </w:r>
    </w:p>
    <w:p>
      <w:r>
        <w:t xml:space="preserve">https://app.aadocs.ru/processes/catalog/financial-services/disbursement-readiness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