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рецептуры и упаковки</w:t>
      </w:r>
    </w:p>
    <w:p>
      <w:pPr>
        <w:pStyle w:val="Subtitle"/>
      </w:pPr>
      <w:r>
        <w:t xml:space="preserve">Пищевое производство и поставки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Предложена замена ингредиента, рецептуры или упаковки.</w:t>
      </w:r>
    </w:p>
    <w:p>
      <w:r>
        <w:t xml:space="preserve">Одобрена версия спецификации с подтверждёнными ресурсами и качеством.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производства.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Редакция</w:t>
            </w:r>
          </w:p>
        </w:tc>
        <w:tc>
          <w:tcPr>
            <w:tcW w:w="2400" w:type="dxa"/>
          </w:tcPr>
          <w:p>
            <w:r>
              <w:t xml:space="preserve">Код новой спецификации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Изменение</w:t>
            </w:r>
          </w:p>
        </w:tc>
        <w:tc>
          <w:tcPr>
            <w:tcW w:w="2400" w:type="dxa"/>
          </w:tcPr>
          <w:p>
            <w:r>
              <w:t xml:space="preserve">Ингредиент или упаковка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Применимость</w:t>
            </w:r>
          </w:p>
        </w:tc>
        <w:tc>
          <w:tcPr>
            <w:tcW w:w="2400" w:type="dxa"/>
          </w:tcPr>
          <w:p>
            <w:r>
              <w:t xml:space="preserve">SKU и партии перехода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Основание изменения</w:t>
            </w:r>
          </w:p>
        </w:tc>
        <w:tc>
          <w:tcPr>
            <w:tcW w:w="2400" w:type="dxa"/>
          </w:tcPr>
          <w:p>
            <w:r>
              <w:t xml:space="preserve">Объясняет замену и область применения.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Рецептура и упаковка</w:t>
            </w:r>
          </w:p>
        </w:tc>
        <w:tc>
          <w:tcPr>
            <w:tcW w:w="2400" w:type="dxa"/>
          </w:tcPr>
          <w:p>
            <w:r>
              <w:t xml:space="preserve">Сохраняют новую редакцию.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Результаты проверки</w:t>
            </w:r>
          </w:p>
        </w:tc>
        <w:tc>
          <w:tcPr>
            <w:tcW w:w="2400" w:type="dxa"/>
          </w:tcPr>
          <w:p>
            <w:r>
              <w:t xml:space="preserve">Подтверждают качество и затронутую маркировку.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Технологическая версия</w:t>
      </w:r>
    </w:p>
    <w:p>
      <w:r>
        <w:t xml:space="preserve">Роли. Технолог.</w:t>
      </w:r>
    </w:p>
    <w:p>
      <w:r>
        <w:t xml:space="preserve">Решение назначенного участника этапа.</w:t>
      </w:r>
    </w:p>
    <w:p>
      <w:r>
        <w:t xml:space="preserve">☐ Описать изменение</w:t>
      </w:r>
    </w:p>
    <w:p>
      <w:r>
        <w:t xml:space="preserve">☐ Зафиксировать исходную рецептуру</w:t>
      </w:r>
    </w:p>
    <w:p>
      <w:r>
        <w:t xml:space="preserve">Результат этапа. Проект спецификации.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Ресурсы</w:t>
      </w:r>
    </w:p>
    <w:p>
      <w:r>
        <w:t xml:space="preserve">Роли. Закупщик, Планировщик.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ингредиенты</w:t>
      </w:r>
    </w:p>
    <w:p>
      <w:r>
        <w:t xml:space="preserve">☐ Подтвердить упаковку и мощности</w:t>
      </w:r>
    </w:p>
    <w:p>
      <w:r>
        <w:t xml:space="preserve">Результат этапа. Ресурсное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Качество и маркировка</w:t>
      </w:r>
    </w:p>
    <w:p>
      <w:r>
        <w:t xml:space="preserve">Роли. Служба качества.</w:t>
      </w:r>
    </w:p>
    <w:p>
      <w:r>
        <w:t xml:space="preserve">Решение назначенного участника этапа.</w:t>
      </w:r>
    </w:p>
    <w:p>
      <w:r>
        <w:t xml:space="preserve">☐ Проверить результаты контроля</w:t>
      </w:r>
    </w:p>
    <w:p>
      <w:r>
        <w:t xml:space="preserve">☐ Оценить затронутые сведения упаковки</w:t>
      </w:r>
    </w:p>
    <w:p>
      <w:r>
        <w:t xml:space="preserve">Результат этапа. Заключение качества.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Переход к выпуску</w:t>
      </w:r>
    </w:p>
    <w:p>
      <w:r>
        <w:t xml:space="preserve">Роли. Руководитель производства.</w:t>
      </w:r>
    </w:p>
    <w:p>
      <w:r>
        <w:t xml:space="preserve">Решение назначенного участника этапа.</w:t>
      </w:r>
    </w:p>
    <w:p>
      <w:r>
        <w:t xml:space="preserve">☐ Проверить экономику</w:t>
      </w:r>
    </w:p>
    <w:p>
      <w:r>
        <w:t xml:space="preserve">☐ Утвердить применимость версии</w:t>
      </w:r>
    </w:p>
    <w:p>
      <w:r>
        <w:t xml:space="preserve">Результат этапа. Разрешение подготовить выпуск.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Качество не подтверждено.</w:t>
      </w:r>
    </w:p>
    <w:p>
      <w:r>
        <w:t xml:space="preserve">Сохранить прежнюю разрешённую версию до устранения причины.</w:t>
      </w:r>
    </w:p>
    <w:p>
      <w:r>
        <w:t xml:space="preserve">Ответственный. Служба качества.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Осталась старая упаковка.</w:t>
      </w:r>
    </w:p>
    <w:p>
      <w:r>
        <w:t xml:space="preserve">Определить допустимое использование и границы перехода.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Изменения с планом перехода. Изменения с однозначными SKU, партиями и упаковкой / все утверждённые изменения.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заменяет испытания, обязательные сведения маркировки и отраслевые процедуры допуска продукции.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Функции 1С:ERP. Проверено 2026-09-14.</w:t>
      </w:r>
    </w:p>
    <w:p>
      <w:r>
        <w:t xml:space="preserve">https://solutions.1c.ru/catalog/1cerp/features</w:t>
      </w:r>
    </w:p>
    <w:p>
      <w:r>
        <w:t xml:space="preserve">Заказы, обеспечение и финансовый учёт. Официальное описание функций. Доли рынка и готовая интеграция с АА.Докс не установлены.</w:t>
      </w:r>
    </w:p>
    <w:p>
      <w:r>
        <w:t xml:space="preserve">Aptean. Contract Manufacturing. Проверено 2026-09-14.</w:t>
      </w:r>
    </w:p>
    <w:p>
      <w:r>
        <w:t xml:space="preserve">https://www.aptean.com/en-US/industries/food-and-beverage-software/contract-manufacturing-software</w:t>
      </w:r>
    </w:p>
    <w:p>
      <w:r>
        <w:t xml:space="preserve">Рецептуры, требования клиента, качество и калькуляция.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https://aadocs.ru/otrasli/food-production/recipe-change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https://app.aadocs.ru/processes/catalog/food-production/recipe-change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