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Согласование обмера круглого леса</w:t>
      </w:r>
    </w:p>
    <w:p>
      <w:pPr>
        <w:pStyle w:val="Subtitle"/>
      </w:pPr>
      <w:r>
        <w:t xml:space="preserve">Лесозаготовка и деревообработка</w:t>
      </w:r>
    </w:p>
    <w:p>
      <w:r>
        <w:t xml:space="preserve">Рабочий шаблон согласования АА.Докс. Редакция каталога 2026-09-16.</w:t>
      </w:r>
    </w:p>
    <w:p>
      <w:r>
        <w:t xml:space="preserve">Авторская модель для настройки в организации. Поля с подчёркиванием заполняются владельцем процесса. Примеры синтетические, готовые цены и юридические условия не установлены.</w:t>
      </w:r>
    </w:p>
    <w:p>
      <w:pPr>
        <w:pStyle w:val="Heading1"/>
      </w:pPr>
      <w:r>
        <w:t xml:space="preserve">Паспорт решения</w:t>
      </w:r>
    </w:p>
    <w:p>
      <w:r>
        <w:t xml:space="preserve">Покупатель представил результаты приёмного измерения.</w:t>
      </w:r>
    </w:p>
    <w:p>
      <w:r>
        <w:t xml:space="preserve">Зафиксированы расчётный объём и решение по расхождениям.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Параметр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Организация и страна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Дело, договор или заказ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Версия основного документа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Владелец процесса</w:t>
            </w:r>
          </w:p>
        </w:tc>
        <w:tc>
          <w:tcPr>
            <w:tcW w:w="2400" w:type="dxa"/>
          </w:tcPr>
          <w:p>
            <w:r>
              <w:t xml:space="preserve">Руководитель продаж. Назначенный сотрудник ________________</w:t>
            </w:r>
          </w:p>
        </w:tc>
      </w:tr>
      <w:tr>
        <w:tc>
          <w:tcPr>
            <w:tcW w:w="2400" w:type="dxa"/>
          </w:tcPr>
          <w:p>
            <w:r>
              <w:t xml:space="preserve">Дата и предел действия решения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Исходные данные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Поле</w:t>
            </w:r>
          </w:p>
        </w:tc>
        <w:tc>
          <w:tcPr>
            <w:tcW w:w="2400" w:type="dxa"/>
          </w:tcPr>
          <w:p>
            <w:r>
              <w:t xml:space="preserve">Подсказка</w:t>
            </w:r>
          </w:p>
        </w:tc>
        <w:tc>
          <w:tcPr>
            <w:tcW w:w="2400" w:type="dxa"/>
          </w:tcPr>
          <w:p>
            <w:r>
              <w:t xml:space="preserve">Значение</w:t>
            </w:r>
          </w:p>
        </w:tc>
      </w:tr>
      <w:tr>
        <w:tc>
          <w:tcPr>
            <w:tcW w:w="2400" w:type="dxa"/>
          </w:tcPr>
          <w:p>
            <w:r>
              <w:t xml:space="preserve">Партия</w:t>
            </w:r>
          </w:p>
        </w:tc>
        <w:tc>
          <w:tcPr>
            <w:tcW w:w="2400" w:type="dxa"/>
          </w:tcPr>
          <w:p>
            <w:r>
              <w:t xml:space="preserve">Номер отгрузки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Измерение</w:t>
            </w:r>
          </w:p>
        </w:tc>
        <w:tc>
          <w:tcPr>
            <w:tcW w:w="2400" w:type="dxa"/>
          </w:tcPr>
          <w:p>
            <w:r>
              <w:t xml:space="preserve">Метод и единица объёма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Разница</w:t>
            </w:r>
          </w:p>
        </w:tc>
        <w:tc>
          <w:tcPr>
            <w:tcW w:w="2400" w:type="dxa"/>
          </w:tcPr>
          <w:p>
            <w:r>
              <w:t xml:space="preserve">Количество по каждой версии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Документный комплект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Документ</w:t>
            </w:r>
          </w:p>
        </w:tc>
        <w:tc>
          <w:tcPr>
            <w:tcW w:w="2400" w:type="dxa"/>
          </w:tcPr>
          <w:p>
            <w:r>
              <w:t xml:space="preserve">Назначение</w:t>
            </w:r>
          </w:p>
        </w:tc>
        <w:tc>
          <w:tcPr>
            <w:tcW w:w="2400" w:type="dxa"/>
          </w:tcPr>
          <w:p>
            <w:r>
              <w:t xml:space="preserve">Файл и версия</w:t>
            </w:r>
          </w:p>
        </w:tc>
      </w:tr>
      <w:tr>
        <w:tc>
          <w:tcPr>
            <w:tcW w:w="2400" w:type="dxa"/>
          </w:tcPr>
          <w:p>
            <w:r>
              <w:t xml:space="preserve">Отгрузочная спецификация</w:t>
            </w:r>
          </w:p>
        </w:tc>
        <w:tc>
          <w:tcPr>
            <w:tcW w:w="2400" w:type="dxa"/>
          </w:tcPr>
          <w:p>
            <w:r>
              <w:t xml:space="preserve">Заявленный объём и сортименты.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Акт обмера покупателя</w:t>
            </w:r>
          </w:p>
        </w:tc>
        <w:tc>
          <w:tcPr>
            <w:tcW w:w="2400" w:type="dxa"/>
          </w:tcPr>
          <w:p>
            <w:r>
              <w:t xml:space="preserve">Принятые данные и метод.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  <w:tr>
        <w:tc>
          <w:tcPr>
            <w:tcW w:w="2400" w:type="dxa"/>
          </w:tcPr>
          <w:p>
            <w:r>
              <w:t xml:space="preserve">Ведомость расхождений</w:t>
            </w:r>
          </w:p>
        </w:tc>
        <w:tc>
          <w:tcPr>
            <w:tcW w:w="2400" w:type="dxa"/>
          </w:tcPr>
          <w:p>
            <w:r>
              <w:t xml:space="preserve">Сопоставление обеих сторон.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Маршрут и контрольные вопросы</w:t>
      </w:r>
    </w:p>
    <w:p>
      <w:pPr>
        <w:pStyle w:val="Heading2"/>
      </w:pPr>
      <w:r>
        <w:t xml:space="preserve">1. Связь документов</w:t>
      </w:r>
    </w:p>
    <w:p>
      <w:r>
        <w:t xml:space="preserve">Роли. Менеджер.</w:t>
      </w:r>
    </w:p>
    <w:p>
      <w:r>
        <w:t xml:space="preserve">Решение назначенного участника этапа.</w:t>
      </w:r>
    </w:p>
    <w:p>
      <w:r>
        <w:t xml:space="preserve">☐ Сверить партию и даты</w:t>
      </w:r>
    </w:p>
    <w:p>
      <w:r>
        <w:t xml:space="preserve">☐ Собрать оба измерения</w:t>
      </w:r>
    </w:p>
    <w:p>
      <w:r>
        <w:t xml:space="preserve">Результат этапа. Единый пакет.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2. Проверка объёма</w:t>
      </w:r>
    </w:p>
    <w:p>
      <w:r>
        <w:t xml:space="preserve">Роли. Специалист учёта древесины.</w:t>
      </w:r>
    </w:p>
    <w:p>
      <w:r>
        <w:t xml:space="preserve">Решение назначенного участника этапа.</w:t>
      </w:r>
    </w:p>
    <w:p>
      <w:r>
        <w:t xml:space="preserve">☐ Сопоставить методики</w:t>
      </w:r>
    </w:p>
    <w:p>
      <w:r>
        <w:t xml:space="preserve">☐ Проверить сортименты</w:t>
      </w:r>
    </w:p>
    <w:p>
      <w:r>
        <w:t xml:space="preserve">Результат этапа. Заключение обмера.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3. Расчёт</w:t>
      </w:r>
    </w:p>
    <w:p>
      <w:r>
        <w:t xml:space="preserve">Роли. Экономист.</w:t>
      </w:r>
    </w:p>
    <w:p>
      <w:r>
        <w:t xml:space="preserve">Решение назначенного участника этапа.</w:t>
      </w:r>
    </w:p>
    <w:p>
      <w:r>
        <w:t xml:space="preserve">☐ Применить договорную цену</w:t>
      </w:r>
    </w:p>
    <w:p>
      <w:r>
        <w:t xml:space="preserve">☐ Выделить спорную сумму</w:t>
      </w:r>
    </w:p>
    <w:p>
      <w:r>
        <w:t xml:space="preserve">Результат этапа. Проект расчёта.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2"/>
      </w:pPr>
      <w:r>
        <w:t xml:space="preserve">4. Согласование разницы</w:t>
      </w:r>
    </w:p>
    <w:p>
      <w:r>
        <w:t xml:space="preserve">Роли. Руководитель продаж.</w:t>
      </w:r>
    </w:p>
    <w:p>
      <w:r>
        <w:t xml:space="preserve">Решение назначенного участника этапа.</w:t>
      </w:r>
    </w:p>
    <w:p>
      <w:r>
        <w:t xml:space="preserve">☐ Принять согласованную часть</w:t>
      </w:r>
    </w:p>
    <w:p>
      <w:r>
        <w:t xml:space="preserve">☐ Зафиксировать порядок урегулирования</w:t>
      </w:r>
    </w:p>
    <w:p>
      <w:r>
        <w:t xml:space="preserve">Результат этапа. Расчётный объём.</w:t>
      </w:r>
    </w:p>
    <w:p>
      <w:r>
        <w:t xml:space="preserve">Назначенные сотрудники ________________. Срок по правилам организации ________________.</w:t>
      </w:r>
    </w:p>
    <w:p>
      <w:r>
        <w:t xml:space="preserve">Решение и комментарий ________________. Дата ________________. Подтверждающий файл ________________.</w:t>
      </w:r>
    </w:p>
    <w:p>
      <w:pPr>
        <w:pStyle w:val="Heading1"/>
      </w:pPr>
      <w:r>
        <w:t xml:space="preserve">Исключения и повторное рассмотрение</w:t>
      </w:r>
    </w:p>
    <w:p>
      <w:r>
        <w:t xml:space="preserve">Условия ниже проверяют сотрудники. В запуске АА.Докс не включено автоматическое условное ветвление.</w:t>
      </w:r>
    </w:p>
    <w:p>
      <w:pPr>
        <w:pStyle w:val="Heading2"/>
      </w:pPr>
      <w:r>
        <w:t xml:space="preserve">Применены разные методы обмера.</w:t>
      </w:r>
    </w:p>
    <w:p>
      <w:r>
        <w:t xml:space="preserve">Определить договорный метод и запросить сопоставимые данные.</w:t>
      </w:r>
    </w:p>
    <w:p>
      <w:r>
        <w:t xml:space="preserve">Ответственный. Специалист учёта древесины.</w:t>
      </w:r>
    </w:p>
    <w:p>
      <w:r>
        <w:t xml:space="preserve">Принятое действие и новая версия ________________.</w:t>
      </w:r>
    </w:p>
    <w:p>
      <w:pPr>
        <w:pStyle w:val="Heading2"/>
      </w:pPr>
      <w:r>
        <w:t xml:space="preserve">Часть партии не идентифицирована.</w:t>
      </w:r>
    </w:p>
    <w:p>
      <w:r>
        <w:t xml:space="preserve">Оставить её открытой до сверки отгрузок.</w:t>
      </w:r>
    </w:p>
    <w:p>
      <w:r>
        <w:t xml:space="preserve">Ответственный. Менеджер.</w:t>
      </w:r>
    </w:p>
    <w:p>
      <w:r>
        <w:t xml:space="preserve">Принятое действие и новая версия ________________.</w:t>
      </w:r>
    </w:p>
    <w:p>
      <w:pPr>
        <w:pStyle w:val="Heading1"/>
      </w:pPr>
      <w:r>
        <w:t xml:space="preserve">Журнал изменений</w:t>
      </w:r>
    </w:p>
    <w:tbl>
      <w:tblPr>
        <w:tblW w:w="0" w:type="auto"/>
        <w:tblBorders>
          <w:top w:val="single" w:sz="4" w:color="B8C2CC"/>
          <w:left w:val="single" w:sz="4" w:color="B8C2CC"/>
          <w:bottom w:val="single" w:sz="4" w:color="B8C2CC"/>
          <w:right w:val="single" w:sz="4" w:color="B8C2CC"/>
          <w:insideH w:val="single" w:sz="4" w:color="B8C2CC"/>
          <w:insideV w:val="single" w:sz="4" w:color="B8C2CC"/>
        </w:tblBorders>
      </w:tblPr>
      <w:tblGrid>
        <w:gridCol w:w="2400"/>
        <w:gridCol w:w="2400"/>
        <w:gridCol w:w="2400"/>
      </w:tblGrid>
      <w:tr>
        <w:trPr>
          <w:tblHeader/>
        </w:trPr>
        <w:tc>
          <w:tcPr>
            <w:tcW w:w="2400" w:type="dxa"/>
          </w:tcPr>
          <w:p>
            <w:r>
              <w:t xml:space="preserve">Версия и дата</w:t>
            </w:r>
          </w:p>
        </w:tc>
        <w:tc>
          <w:tcPr>
            <w:tcW w:w="2400" w:type="dxa"/>
          </w:tcPr>
          <w:p>
            <w:r>
              <w:t xml:space="preserve">Что изменено</w:t>
            </w:r>
          </w:p>
        </w:tc>
        <w:tc>
          <w:tcPr>
            <w:tcW w:w="2400" w:type="dxa"/>
          </w:tcPr>
          <w:p>
            <w:r>
              <w:t xml:space="preserve">Повторное решение</w:t>
            </w:r>
          </w:p>
        </w:tc>
      </w:tr>
      <w:tr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  <w:tc>
          <w:tcPr>
            <w:tcW w:w="2400" w:type="dxa"/>
          </w:tcPr>
          <w:p>
            <w:r>
              <w:t xml:space="preserve">________________</w:t>
            </w:r>
          </w:p>
        </w:tc>
      </w:tr>
    </w:tbl>
    <w:p>
      <w:pPr>
        <w:pStyle w:val="Heading1"/>
      </w:pPr>
      <w:r>
        <w:t xml:space="preserve">Итог решения и внешние подтверждения</w:t>
      </w:r>
    </w:p>
    <w:p>
      <w:r>
        <w:t xml:space="preserve">Согласованная версия ________________. Принятая часть ________________. Открытые вопросы ________________.</w:t>
      </w:r>
    </w:p>
    <w:p>
      <w:r>
        <w:t xml:space="preserve">Подтверждение контрагента, если требуется ________________. Исполнение решения и подтверждающий документ ________________.</w:t>
      </w:r>
    </w:p>
    <w:p>
      <w:r>
        <w:t xml:space="preserve">Внешнюю роль в АА.Докс назначают сотруднику, который собирает подтверждение внешней стороны. Внутреннее согласование не заменяет её решение.</w:t>
      </w:r>
    </w:p>
    <w:p>
      <w:pPr>
        <w:pStyle w:val="Heading1"/>
      </w:pPr>
      <w:r>
        <w:t xml:space="preserve">Метрики</w:t>
      </w:r>
    </w:p>
    <w:p>
      <w:r>
        <w:t xml:space="preserve">Отклонение объёма. Разница согласованного и заявленного объёма / заявленный объём партии.</w:t>
      </w:r>
    </w:p>
    <w:p>
      <w:r>
        <w:t xml:space="preserve">Доля возвратов. Число завершённых согласований с хотя бы одним возвратом / число завершённых согласований за период. Повторные возвраты одного дела не увеличивают числитель.</w:t>
      </w:r>
    </w:p>
    <w:p>
      <w:pPr>
        <w:pStyle w:val="Heading1"/>
      </w:pPr>
      <w:r>
        <w:t xml:space="preserve">Границы применения</w:t>
      </w:r>
    </w:p>
    <w:p>
      <w:r>
        <w:t xml:space="preserve">Шаблон не устанавливает нормативный метод измерений и не выполняет его автоматически.</w:t>
      </w:r>
    </w:p>
    <w:p>
      <w:r>
        <w:t xml:space="preserve">Согласование документа не подтверждает автоматически подпись сторон, оплату, физическое исполнение или разрешение. Лимиты и сроки определяет организация.</w:t>
      </w:r>
    </w:p>
    <w:p>
      <w:pPr>
        <w:pStyle w:val="Heading1"/>
      </w:pPr>
      <w:r>
        <w:t xml:space="preserve">Источники и актуальная версия</w:t>
      </w:r>
    </w:p>
    <w:p>
      <w:r>
        <w:t xml:space="preserve">1С. Функции лесозаготовительного модуля. Проверено 2026-09-16.</w:t>
      </w:r>
    </w:p>
    <w:p>
      <w:r>
        <w:t xml:space="preserve">https://solutions.1c.ru/catalog/forest-plant-erp/features</w:t>
      </w:r>
    </w:p>
    <w:p>
      <w:r>
        <w:t xml:space="preserve">Заготовка, вывозка, обмер и анализ расхождений. Официальное описание функций. Доли рынка и готовая интеграция с АА.Докс не установлены.</w:t>
      </w:r>
    </w:p>
    <w:p>
      <w:r>
        <w:t xml:space="preserve">Trimble. Log Inventory Management System. Проверено 2026-09-16.</w:t>
      </w:r>
    </w:p>
    <w:p>
      <w:r>
        <w:t xml:space="preserve">https://www.trimble.com/en/products/forestry/log-inventory-management-system</w:t>
      </w:r>
    </w:p>
    <w:p>
      <w:r>
        <w:t xml:space="preserve">Измерения, склад древесины и расчёты. Официальное описание функций. Доли рынка и готовая интеграция с АА.Докс не установлены.</w:t>
      </w:r>
    </w:p>
    <w:p>
      <w:r>
        <w:t xml:space="preserve">Страница маршрута</w:t>
      </w:r>
    </w:p>
    <w:p>
      <w:r>
        <w:t xml:space="preserve">https://aadocs.ru/otrasli/forestry/timber-measurement</w:t>
      </w:r>
    </w:p>
    <w:p>
      <w:r>
        <w:t xml:space="preserve">Запуск с назначением участников</w:t>
      </w:r>
    </w:p>
    <w:p>
      <w:r>
        <w:t xml:space="preserve">https://app.aadocs.ru/processes/catalog/forestry/timber-measurement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  <w:lang w:val="ru-RU"/>
      </w:rPr>
    </w:rPrDefault>
    <w:pPrDefault>
      <w:pPr>
        <w:spacing w:after="120"/>
      </w:pPr>
    </w:pPrDefault>
  </w:docDefaults>
  <w:style w:type="paragraph" w:default="1" w:styleId="Normal">
    <w:name w:val="Normal"/>
  </w:style>
  <w:style w:type="paragraph" w:styleId="Title">
    <w:name w:val="Title"/>
    <w:basedOn w:val="Normal"/>
    <w:pPr>
      <w:keepNext/>
      <w:spacing w:before="240" w:after="120"/>
    </w:pPr>
    <w:rPr>
      <w:b/>
      <w:sz w:val="36"/>
    </w:rPr>
  </w:style>
  <w:style w:type="paragraph" w:styleId="Subtitle">
    <w:name w:val="Subtitle"/>
    <w:basedOn w:val="Normal"/>
    <w:pPr>
      <w:keepNext/>
      <w:spacing w:before="240" w:after="120"/>
    </w:pPr>
    <w:rPr>
      <w:b/>
      <w:sz w:val="26"/>
    </w:rPr>
  </w:style>
  <w:style w:type="paragraph" w:styleId="Heading1">
    <w:name w:val="Heading1"/>
    <w:basedOn w:val="Normal"/>
    <w:pPr>
      <w:keepNext/>
      <w:spacing w:before="240" w:after="120"/>
    </w:pPr>
    <w:rPr>
      <w:b/>
      <w:sz w:val="28"/>
    </w:rPr>
  </w:style>
  <w:style w:type="paragraph" w:styleId="Heading2">
    <w:name w:val="Heading2"/>
    <w:basedOn w:val="Normal"/>
    <w:pPr>
      <w:keepNext/>
      <w:spacing w:before="240" w:after="120"/>
    </w:pPr>
    <w:rPr>
      <w:b/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/Relationships>
</file>