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монтажа мебели</w:t>
      </w:r>
    </w:p>
    <w:p>
      <w:pPr>
        <w:pStyle w:val="Subtitle"/>
      </w:pPr>
      <w:r>
        <w:t xml:space="preserve">Мебель на заказ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Монтажник завершил установку или предъявляет часть заказа.</w:t>
      </w:r>
    </w:p>
    <w:p>
      <w:r>
        <w:t xml:space="preserve">Зафиксированы установленные позиции и порядок устранения замечаний.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сервиса.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Установлено</w:t>
            </w:r>
          </w:p>
        </w:tc>
        <w:tc>
          <w:tcPr>
            <w:tcW w:w="2400" w:type="dxa"/>
          </w:tcPr>
          <w:p>
            <w:r>
              <w:t xml:space="preserve">Перечень изделий и комплектующих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Замечания</w:t>
            </w:r>
          </w:p>
        </w:tc>
        <w:tc>
          <w:tcPr>
            <w:tcW w:w="2400" w:type="dxa"/>
          </w:tcPr>
          <w:p>
            <w:r>
              <w:t xml:space="preserve">Регулировка, замена или переделка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Проверка</w:t>
            </w:r>
          </w:p>
        </w:tc>
        <w:tc>
          <w:tcPr>
            <w:tcW w:w="2400" w:type="dxa"/>
          </w:tcPr>
          <w:p>
            <w:r>
              <w:t xml:space="preserve">Ответственный и критерий закрытия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Спецификация заказа</w:t>
            </w:r>
          </w:p>
        </w:tc>
        <w:tc>
          <w:tcPr>
            <w:tcW w:w="2400" w:type="dxa"/>
          </w:tcPr>
          <w:p>
            <w:r>
              <w:t xml:space="preserve">Согласованный состав.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Отчёт монтажа</w:t>
            </w:r>
          </w:p>
        </w:tc>
        <w:tc>
          <w:tcPr>
            <w:tcW w:w="2400" w:type="dxa"/>
          </w:tcPr>
          <w:p>
            <w:r>
              <w:t xml:space="preserve">Факт и фотографии.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Акт с замечаниями</w:t>
            </w:r>
          </w:p>
        </w:tc>
        <w:tc>
          <w:tcPr>
            <w:tcW w:w="2400" w:type="dxa"/>
          </w:tcPr>
          <w:p>
            <w:r>
              <w:t xml:space="preserve">Принятые позиции и открытые вопросы.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Факт монтажа</w:t>
      </w:r>
    </w:p>
    <w:p>
      <w:r>
        <w:t xml:space="preserve">Роли. Монтажник.</w:t>
      </w:r>
    </w:p>
    <w:p>
      <w:r>
        <w:t xml:space="preserve">Решение назначенного участника этапа.</w:t>
      </w:r>
    </w:p>
    <w:p>
      <w:r>
        <w:t xml:space="preserve">☐ Сверить установленные позиции</w:t>
      </w:r>
    </w:p>
    <w:p>
      <w:r>
        <w:t xml:space="preserve">☐ Приложить фото</w:t>
      </w:r>
    </w:p>
    <w:p>
      <w:r>
        <w:t xml:space="preserve">Результат этапа. Отчёт.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Оценка замечаний</w:t>
      </w:r>
    </w:p>
    <w:p>
      <w:r>
        <w:t xml:space="preserve">Роли. Технолог.</w:t>
      </w:r>
    </w:p>
    <w:p>
      <w:r>
        <w:t xml:space="preserve">Решение назначенного участника этапа.</w:t>
      </w:r>
    </w:p>
    <w:p>
      <w:r>
        <w:t xml:space="preserve">☐ Определить способ исправления</w:t>
      </w:r>
    </w:p>
    <w:p>
      <w:r>
        <w:t xml:space="preserve">☐ Проверить необходимые детали</w:t>
      </w:r>
    </w:p>
    <w:p>
      <w:r>
        <w:t xml:space="preserve">Результат этапа. План исправлений.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Подтверждение клиента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Получить решение по акту</w:t>
      </w:r>
    </w:p>
    <w:p>
      <w:r>
        <w:t xml:space="preserve">☐ Отделить принятые позиции</w:t>
      </w:r>
    </w:p>
    <w:p>
      <w:r>
        <w:t xml:space="preserve">Результат этапа. Подтверждение.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Закрытие</w:t>
      </w:r>
    </w:p>
    <w:p>
      <w:r>
        <w:t xml:space="preserve">Роли. Руководитель сервиса.</w:t>
      </w:r>
    </w:p>
    <w:p>
      <w:r>
        <w:t xml:space="preserve">Решение назначенного участника этапа.</w:t>
      </w:r>
    </w:p>
    <w:p>
      <w:r>
        <w:t xml:space="preserve">☐ Назначить исполнителей</w:t>
      </w:r>
    </w:p>
    <w:p>
      <w:r>
        <w:t xml:space="preserve">☐ Зафиксировать повторную приёмку</w:t>
      </w:r>
    </w:p>
    <w:p>
      <w:r>
        <w:t xml:space="preserve">Результат этапа. Акт и открытые задачи.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Часть изделия не установлена.</w:t>
      </w:r>
    </w:p>
    <w:p>
      <w:r>
        <w:t xml:space="preserve">Не включать её в завершённую часть акта.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После регулировки замечание осталось.</w:t>
      </w:r>
    </w:p>
    <w:p>
      <w:r>
        <w:t xml:space="preserve">Открыть повторную проверку с новыми доказательствами.</w:t>
      </w:r>
    </w:p>
    <w:p>
      <w:r>
        <w:t xml:space="preserve">Ответственный. Руководитель сервиса.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Закрытие внутреннего маршрута не заменяет подпись заказчика и фактическое устранение замечаний.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БАЗИС. Руководство БАЗИС-Смета. Проверено 2026-09-16.</w:t>
      </w:r>
    </w:p>
    <w:p>
      <w:r>
        <w:t xml:space="preserve">https://s3-cold.bazissoft.ru/documentation/ru/Estimate.pdf</w:t>
      </w:r>
    </w:p>
    <w:p>
      <w:r>
        <w:t xml:space="preserve">Расчёт материалов и операций заказа. Официальное описание функций. Доли рынка и готовая интеграция с АА.Докс не установлены.</w:t>
      </w:r>
    </w:p>
    <w:p>
      <w:r>
        <w:t xml:space="preserve">Hexagon. Cabinet Vision. Проверено 2026-09-16.</w:t>
      </w:r>
    </w:p>
    <w:p>
      <w:r>
        <w:t xml:space="preserve">https://hexagon.com/products/cabinet-vision</w:t>
      </w:r>
    </w:p>
    <w:p>
      <w:r>
        <w:t xml:space="preserve">Проектирование, оценка и подготовка производства. Описание публичное и краткое. Детальный состав конкретной комплектации не проверен.</w:t>
      </w:r>
    </w:p>
    <w:p>
      <w:r>
        <w:t xml:space="preserve">Страница маршрута</w:t>
      </w:r>
    </w:p>
    <w:p>
      <w:r>
        <w:t xml:space="preserve">https://aadocs.ru/otrasli/furniture/furniture-installation</w:t>
      </w:r>
    </w:p>
    <w:p>
      <w:r>
        <w:t xml:space="preserve">Запуск с назначением участников</w:t>
      </w:r>
    </w:p>
    <w:p>
      <w:r>
        <w:t xml:space="preserve">https://app.aadocs.ru/processes/catalog/furniture/furniture-installation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