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Согласование страхового возмещения</w:t>
      </w:r>
    </w:p>
    <w:p>
      <w:pPr>
        <w:pStyle w:val="Subtitle"/>
      </w:pPr>
      <w:r>
        <w:t xml:space="preserve">Страхование и лизинг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Зарегистрировано требование о возмещении.</w:t>
      </w:r>
    </w:p>
    <w:p>
      <w:r>
        <w:t xml:space="preserve">Одобрены расчёт и документированное решение для последующих действий.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урегулирования.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Событие</w:t>
            </w:r>
          </w:p>
        </w:tc>
        <w:tc>
          <w:tcPr>
            <w:tcW w:w="2400" w:type="dxa"/>
          </w:tcPr>
          <w:p>
            <w:r>
              <w:t xml:space="preserve">Идентификатор дела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Покрытие</w:t>
            </w:r>
          </w:p>
        </w:tc>
        <w:tc>
          <w:tcPr>
            <w:tcW w:w="2400" w:type="dxa"/>
          </w:tcPr>
          <w:p>
            <w:r>
              <w:t xml:space="preserve">Относящиеся условия договора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Сумма</w:t>
            </w:r>
          </w:p>
        </w:tc>
        <w:tc>
          <w:tcPr>
            <w:tcW w:w="2400" w:type="dxa"/>
          </w:tcPr>
          <w:p>
            <w:r>
              <w:t xml:space="preserve">Расчёт и корректировки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Заявление и договор</w:t>
            </w:r>
          </w:p>
        </w:tc>
        <w:tc>
          <w:tcPr>
            <w:tcW w:w="2400" w:type="dxa"/>
          </w:tcPr>
          <w:p>
            <w:r>
              <w:t xml:space="preserve">Определяют требование.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Материалы события</w:t>
            </w:r>
          </w:p>
        </w:tc>
        <w:tc>
          <w:tcPr>
            <w:tcW w:w="2400" w:type="dxa"/>
          </w:tcPr>
          <w:p>
            <w:r>
              <w:t xml:space="preserve">Подтверждают факты и осмотр.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возмещения</w:t>
            </w:r>
          </w:p>
        </w:tc>
        <w:tc>
          <w:tcPr>
            <w:tcW w:w="2400" w:type="dxa"/>
          </w:tcPr>
          <w:p>
            <w:r>
              <w:t xml:space="preserve">Обосновывает сумму и получателя.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дела</w:t>
      </w:r>
    </w:p>
    <w:p>
      <w:r>
        <w:t xml:space="preserve">Роли. Специалист урегулирования.</w:t>
      </w:r>
    </w:p>
    <w:p>
      <w:r>
        <w:t xml:space="preserve">Решение назначенного участника этапа.</w:t>
      </w:r>
    </w:p>
    <w:p>
      <w:r>
        <w:t xml:space="preserve">☐ Сверить договор</w:t>
      </w:r>
    </w:p>
    <w:p>
      <w:r>
        <w:t xml:space="preserve">☐ Собрать материалы события</w:t>
      </w:r>
    </w:p>
    <w:p>
      <w:r>
        <w:t xml:space="preserve">Результат этапа. Зарегистрированное дело.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Факты и основания</w:t>
      </w:r>
    </w:p>
    <w:p>
      <w:r>
        <w:t xml:space="preserve">Роли. Профильный эксперт,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материалы</w:t>
      </w:r>
    </w:p>
    <w:p>
      <w:r>
        <w:t xml:space="preserve">☐ Отметить спорные обстоятельства</w:t>
      </w:r>
    </w:p>
    <w:p>
      <w:r>
        <w:t xml:space="preserve">Результат этапа. Заключение по делу.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Сумма и получатель</w:t>
      </w:r>
    </w:p>
    <w:p>
      <w:r>
        <w:t xml:space="preserve">Роли. Финансовый специалист.</w:t>
      </w:r>
    </w:p>
    <w:p>
      <w:r>
        <w:t xml:space="preserve">Решение назначенного участника этапа.</w:t>
      </w:r>
    </w:p>
    <w:p>
      <w:r>
        <w:t xml:space="preserve">☐ Проверить расчёт</w:t>
      </w:r>
    </w:p>
    <w:p>
      <w:r>
        <w:t xml:space="preserve">☐ Сверить корректировки и получателя</w:t>
      </w:r>
    </w:p>
    <w:p>
      <w:r>
        <w:t xml:space="preserve">Результат этапа. Проект решения.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Одобрение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полномочия</w:t>
      </w:r>
    </w:p>
    <w:p>
      <w:r>
        <w:t xml:space="preserve">☐ Утвердить мотивированное решение</w:t>
      </w:r>
    </w:p>
    <w:p>
      <w:r>
        <w:t xml:space="preserve">Результат этапа. Комплект для исполнения или ответа.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Документ противоречит материалам события.</w:t>
      </w:r>
    </w:p>
    <w:p>
      <w:r>
        <w:t xml:space="preserve">Уточнить факт вместо автоматического отказа.</w:t>
      </w:r>
    </w:p>
    <w:p>
      <w:r>
        <w:t xml:space="preserve">Ответственный. Профильный эксперт.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Получатель изменился.</w:t>
      </w:r>
    </w:p>
    <w:p>
      <w:r>
        <w:t xml:space="preserve">Повторить проверку основания и реквизитов.</w:t>
      </w:r>
    </w:p>
    <w:p>
      <w:r>
        <w:t xml:space="preserve">Ответственный. Финансовый 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Повторные исправления расчёта. Решения с исправлением суммы после утверждения / все утверждённые решения.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Платёжный контроль казначейства выполняется отдельно. Шаблон не определяет юридическое право на выплату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Диасофт. Insurance P.O.S.. Проверено 2026-09-14.</w:t>
      </w:r>
    </w:p>
    <w:p>
      <w:r>
        <w:t xml:space="preserve">https://www.diasoft.ru/goscompany/products/diasoft-insurance/front-office/</w:t>
      </w:r>
    </w:p>
    <w:p>
      <w:r>
        <w:t xml:space="preserve">Расчёт предложения и андеррайтинг. Официальное описание функций. Доли рынка и готовая интеграция с АА.Докс не установлены.</w:t>
      </w:r>
    </w:p>
    <w:p>
      <w:r>
        <w:t xml:space="preserve">Диасофт. Insurance Claims. Проверено 2026-09-14.</w:t>
      </w:r>
    </w:p>
    <w:p>
      <w:r>
        <w:t xml:space="preserve">https://www.diasoft.ru/importsubstitution/products/diasoft-insurance/back-office/</w:t>
      </w:r>
    </w:p>
    <w:p>
      <w:r>
        <w:t xml:space="preserve">Требование, дело убытка, оценка, расчёт и выплата.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https://aadocs.ru/otrasli/insurance-leasing/insurance-claim</w:t>
      </w:r>
    </w:p>
    <w:p>
      <w:r>
        <w:t xml:space="preserve">Запуск с назначением участников</w:t>
      </w:r>
    </w:p>
    <w:p>
      <w:r>
        <w:t xml:space="preserve">https://app.aadocs.ru/processes/catalog/insurance-leasing/insurance-claim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