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объёма ИТ-работ</w:t>
      </w:r>
    </w:p>
    <w:p>
      <w:pPr>
        <w:pStyle w:val="Subtitle"/>
      </w:pPr>
      <w:r>
        <w:t xml:space="preserve">ИТ, разработка и сопровождение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Новое требование выходит за принятую спецификацию.</w:t>
      </w:r>
    </w:p>
    <w:p>
      <w:r>
        <w:t xml:space="preserve">Согласована новая версия стоимости, сроков и обязательств.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проекта.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Основание</w:t>
            </w:r>
          </w:p>
        </w:tc>
        <w:tc>
          <w:tcPr>
            <w:tcW w:w="2400" w:type="dxa"/>
          </w:tcPr>
          <w:p>
            <w:r>
              <w:t xml:space="preserve">Новый результат или изменение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Влияние</w:t>
            </w:r>
          </w:p>
        </w:tc>
        <w:tc>
          <w:tcPr>
            <w:tcW w:w="2400" w:type="dxa"/>
          </w:tcPr>
          <w:p>
            <w:r>
              <w:t xml:space="preserve">Часы и зависимости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</w:t>
            </w:r>
          </w:p>
        </w:tc>
        <w:tc>
          <w:tcPr>
            <w:tcW w:w="2400" w:type="dxa"/>
          </w:tcPr>
          <w:p>
            <w:r>
              <w:t xml:space="preserve">Связь с исходным договором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изменения</w:t>
            </w:r>
          </w:p>
        </w:tc>
        <w:tc>
          <w:tcPr>
            <w:tcW w:w="2400" w:type="dxa"/>
          </w:tcPr>
          <w:p>
            <w:r>
              <w:t xml:space="preserve">Фиксирует новое требование.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Оценка влияния</w:t>
            </w:r>
          </w:p>
        </w:tc>
        <w:tc>
          <w:tcPr>
            <w:tcW w:w="2400" w:type="dxa"/>
          </w:tcPr>
          <w:p>
            <w:r>
              <w:t xml:space="preserve">Показывает технические последствия.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Новая спецификация</w:t>
            </w:r>
          </w:p>
        </w:tc>
        <w:tc>
          <w:tcPr>
            <w:tcW w:w="2400" w:type="dxa"/>
          </w:tcPr>
          <w:p>
            <w:r>
              <w:t xml:space="preserve">Содержит цену, сроки и подтверждение клиента.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Отличие от объёма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Сравнить с договором</w:t>
      </w:r>
    </w:p>
    <w:p>
      <w:r>
        <w:t xml:space="preserve">☐ Зафиксировать запрос</w:t>
      </w:r>
    </w:p>
    <w:p>
      <w:r>
        <w:t xml:space="preserve">Результат этапа. Обоснование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Технические последствия</w:t>
      </w:r>
    </w:p>
    <w:p>
      <w:r>
        <w:t xml:space="preserve">Роли. Технический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Оценить трудозатраты</w:t>
      </w:r>
    </w:p>
    <w:p>
      <w:r>
        <w:t xml:space="preserve">☐ Проверить совместимость решения</w:t>
      </w:r>
    </w:p>
    <w:p>
      <w:r>
        <w:t xml:space="preserve">Результат этапа. Оценка влияния.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План проекта</w:t>
      </w:r>
    </w:p>
    <w:p>
      <w:r>
        <w:t xml:space="preserve">Роли. Руководитель проекта.</w:t>
      </w:r>
    </w:p>
    <w:p>
      <w:r>
        <w:t xml:space="preserve">Решение назначенного участника этапа.</w:t>
      </w:r>
    </w:p>
    <w:p>
      <w:r>
        <w:t xml:space="preserve">☐ Пересчитать календарь</w:t>
      </w:r>
    </w:p>
    <w:p>
      <w:r>
        <w:t xml:space="preserve">☐ Подтвердить ресурсы</w:t>
      </w:r>
    </w:p>
    <w:p>
      <w:r>
        <w:t xml:space="preserve">Результат этапа. Обновлённый план.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сторон</w:t>
      </w:r>
    </w:p>
    <w:p>
      <w:r>
        <w:t xml:space="preserve">Роли. Владелец договора.</w:t>
      </w:r>
    </w:p>
    <w:p>
      <w:r>
        <w:t xml:space="preserve">Решение назначенного участника этапа.</w:t>
      </w:r>
    </w:p>
    <w:p>
      <w:r>
        <w:t xml:space="preserve">☐ Согласовать новую стоимость</w:t>
      </w:r>
    </w:p>
    <w:p>
      <w:r>
        <w:t xml:space="preserve">☐ Приложить внешнее подтверждение</w:t>
      </w:r>
    </w:p>
    <w:p>
      <w:r>
        <w:t xml:space="preserve">Результат этапа. Основание нового объёма.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Изменение не принято клиентом.</w:t>
      </w:r>
    </w:p>
    <w:p>
      <w:r>
        <w:t xml:space="preserve">Сохранить прежнюю спецификацию.</w:t>
      </w:r>
    </w:p>
    <w:p>
      <w:r>
        <w:t xml:space="preserve">Ответственный. Владелец договора.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Запрос относится к исправлению дефекта.</w:t>
      </w:r>
    </w:p>
    <w:p>
      <w:r>
        <w:t xml:space="preserve">Проверить договорное основание вместо автоматической доплаты.</w:t>
      </w:r>
    </w:p>
    <w:p>
      <w:r>
        <w:t xml:space="preserve">Ответственный. Технический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Неоплаченный новый объём. Часы дополнительных работ без подтверждённого основания оплаты, отдельно от гарантийных исправлений.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Внутреннее согласование не означает принятия изменения заказчиком.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ITSM 365. Процессы ITSM 365 Outsource. Проверено 2026-09-14.</w:t>
      </w:r>
    </w:p>
    <w:p>
      <w:r>
        <w:t xml:space="preserve">https://itsm365.com/documents_outsourcenew/Content/processes.htm</w:t>
      </w:r>
    </w:p>
    <w:p>
      <w:r>
        <w:t xml:space="preserve">Трудозатраты, согласования и финансы. Официальное описание функций. Доли рынка и готовая интеграция с АА.Докс не установлены.</w:t>
      </w:r>
    </w:p>
    <w:p>
      <w:r>
        <w:t xml:space="preserve">Halo. Managed Services. Проверено 2026-09-14.</w:t>
      </w:r>
    </w:p>
    <w:p>
      <w:r>
        <w:t xml:space="preserve">https://www.usehalo.com/managed-services</w:t>
      </w:r>
    </w:p>
    <w:p>
      <w:r>
        <w:t xml:space="preserve">Проекты, договоры, биллинг и клиентский портал.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https://aadocs.ru/otrasli/it-services/software-change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https://app.aadocs.ru/processes/catalog/it-services/software-change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