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Продажа сырья, концентрата или металла</w:t>
      </w:r>
    </w:p>
    <w:p>
      <w:pPr>
        <w:pStyle w:val="Subtitle"/>
      </w:pPr>
      <w:r>
        <w:t xml:space="preserve">Горная добыча и металлургия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Подготовлены условия поставки сырья или металла.</w:t>
      </w:r>
    </w:p>
    <w:p>
      <w:r>
        <w:t xml:space="preserve">Утверждены технические параметры, формула цены и условия расчёта.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директор.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Базис массы</w:t>
            </w:r>
          </w:p>
        </w:tc>
        <w:tc>
          <w:tcPr>
            <w:tcW w:w="2400" w:type="dxa"/>
          </w:tcPr>
          <w:p>
            <w:r>
              <w:t xml:space="preserve">Влажная или сухая по договору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Качество</w:t>
            </w:r>
          </w:p>
        </w:tc>
        <w:tc>
          <w:tcPr>
            <w:tcW w:w="2400" w:type="dxa"/>
          </w:tcPr>
          <w:p>
            <w:r>
              <w:t xml:space="preserve">Приёмочные показатели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Период цены</w:t>
            </w:r>
          </w:p>
        </w:tc>
        <w:tc>
          <w:tcPr>
            <w:tcW w:w="2400" w:type="dxa"/>
          </w:tcPr>
          <w:p>
            <w:r>
              <w:t xml:space="preserve">Договорный период котировки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Спецификация</w:t>
            </w:r>
          </w:p>
        </w:tc>
        <w:tc>
          <w:tcPr>
            <w:tcW w:w="2400" w:type="dxa"/>
          </w:tcPr>
          <w:p>
            <w:r>
              <w:t xml:space="preserve">Фиксирует товар и показатели.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Формула цены</w:t>
            </w:r>
          </w:p>
        </w:tc>
        <w:tc>
          <w:tcPr>
            <w:tcW w:w="2400" w:type="dxa"/>
          </w:tcPr>
          <w:p>
            <w:r>
              <w:t xml:space="preserve">Определяет источник и период котировки.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План доставки</w:t>
            </w:r>
          </w:p>
        </w:tc>
        <w:tc>
          <w:tcPr>
            <w:tcW w:w="2400" w:type="dxa"/>
          </w:tcPr>
          <w:p>
            <w:r>
              <w:t xml:space="preserve">Обосновывает расходы и исполнение.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Предмет поставки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Зафиксировать товар и количество</w:t>
      </w:r>
    </w:p>
    <w:p>
      <w:r>
        <w:t xml:space="preserve">☐ Проверить источник партии</w:t>
      </w:r>
    </w:p>
    <w:p>
      <w:r>
        <w:t xml:space="preserve">Результат этапа. Карточка сделки.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Приёмочные показатели</w:t>
      </w:r>
    </w:p>
    <w:p>
      <w:r>
        <w:t xml:space="preserve">Роли. Лаборатория, Технолог.</w:t>
      </w:r>
    </w:p>
    <w:p>
      <w:r>
        <w:t xml:space="preserve">Нужны решения всех назначенных участников этапа.</w:t>
      </w:r>
    </w:p>
    <w:p>
      <w:r>
        <w:t xml:space="preserve">☐ Утвердить параметры</w:t>
      </w:r>
    </w:p>
    <w:p>
      <w:r>
        <w:t xml:space="preserve">☐ Определить порядок анализа</w:t>
      </w:r>
    </w:p>
    <w:p>
      <w:r>
        <w:t xml:space="preserve">Результат этапа. Техническое приложение.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 и лимит</w:t>
      </w:r>
    </w:p>
    <w:p>
      <w:r>
        <w:t xml:space="preserve">Роли. Экономист, Кредитный контролер.</w:t>
      </w:r>
    </w:p>
    <w:p>
      <w:r>
        <w:t xml:space="preserve">Нужны решения всех назначенных участников этапа.</w:t>
      </w:r>
    </w:p>
    <w:p>
      <w:r>
        <w:t xml:space="preserve">☐ Сверить формулу и доставку</w:t>
      </w:r>
    </w:p>
    <w:p>
      <w:r>
        <w:t xml:space="preserve">☐ Проверить отсрочку и обеспечение</w:t>
      </w:r>
    </w:p>
    <w:p>
      <w:r>
        <w:t xml:space="preserve">Результат этапа. Коммерческий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Договорное решение</w:t>
      </w:r>
    </w:p>
    <w:p>
      <w:r>
        <w:t xml:space="preserve">Роли. Юрист, Коммерческий директор.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процедуру спора</w:t>
      </w:r>
    </w:p>
    <w:p>
      <w:r>
        <w:t xml:space="preserve">☐ Утвердить окончательные условия</w:t>
      </w:r>
    </w:p>
    <w:p>
      <w:r>
        <w:t xml:space="preserve">Результат этапа. Разрешение на оформление.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Не согласован определяющий анализ.</w:t>
      </w:r>
    </w:p>
    <w:p>
      <w:r>
        <w:t xml:space="preserve">Вернуть техническое приложение и порядок разрешения спора.</w:t>
      </w:r>
    </w:p>
    <w:p>
      <w:r>
        <w:t xml:space="preserve">Ответственный. Юрист.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Изменился базис доставки.</w:t>
      </w:r>
    </w:p>
    <w:p>
      <w:r>
        <w:t xml:space="preserve">Пересчитать логистику и формулу экономики.</w:t>
      </w:r>
    </w:p>
    <w:p>
      <w:r>
        <w:t xml:space="preserve">Ответственный. Экономист.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Договоры с полными параметрами расчёта. Договоры с определёнными массой, анализом и периодом цены / все одобренные договоры.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Формулы различаются по товару. Никакие биржевые сделки этим маршрутом не заключаются.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Отраслевые возможности горнодобывающей ERP. Проверено 2026-09-14.</w:t>
      </w:r>
    </w:p>
    <w:p>
      <w:r>
        <w:t xml:space="preserve">https://solutions.1c.ru/catalog/mining/features</w:t>
      </w:r>
    </w:p>
    <w:p>
      <w:r>
        <w:t xml:space="preserve">Пробы, качество, партионный учёт и цены. Официальное описание функций. Доли рынка и готовая интеграция с АА.Докс не установлены.</w:t>
      </w:r>
    </w:p>
    <w:p>
      <w:r>
        <w:t xml:space="preserve">ION. Metals and Mining. Проверено 2026-09-14.</w:t>
      </w:r>
    </w:p>
    <w:p>
      <w:r>
        <w:t xml:space="preserve">https://iongroup.com/industries/commodities/metals-and-mining/</w:t>
      </w:r>
    </w:p>
    <w:p>
      <w:r>
        <w:t xml:space="preserve">Различия фактического и договорного качества, веса и цены.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https://aadocs.ru/otrasli/mining-metals/commodity-contract</w:t>
      </w:r>
    </w:p>
    <w:p>
      <w:r>
        <w:t xml:space="preserve">Запуск с назначением участников</w:t>
      </w:r>
    </w:p>
    <w:p>
      <w:r>
        <w:t xml:space="preserve">https://app.aadocs.ru/processes/catalog/mining-metals/commodity-contract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