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Окончательный расчёт по качеству и массе</w:t>
      </w:r>
    </w:p>
    <w:p>
      <w:pPr>
        <w:pStyle w:val="Subtitle"/>
      </w:pPr>
      <w:r>
        <w:t xml:space="preserve">Горная добыча и металлургия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Получены фактические веса и анализы для закрытия предварительной цены.</w:t>
      </w:r>
    </w:p>
    <w:p>
      <w:r>
        <w:t xml:space="preserve">Утверждены окончательная стоимость и основания корректировки.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Финансовый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Приёмочная масса</w:t>
            </w:r>
          </w:p>
        </w:tc>
        <w:tc>
          <w:tcPr>
            <w:tcW w:w="2400" w:type="dxa"/>
          </w:tcPr>
          <w:p>
            <w:r>
              <w:t xml:space="preserve">Значение и документ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Анализ</w:t>
            </w:r>
          </w:p>
        </w:tc>
        <w:tc>
          <w:tcPr>
            <w:tcW w:w="2400" w:type="dxa"/>
          </w:tcPr>
          <w:p>
            <w:r>
              <w:t xml:space="preserve">Определяющий протокол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Корректировка</w:t>
            </w:r>
          </w:p>
        </w:tc>
        <w:tc>
          <w:tcPr>
            <w:tcW w:w="2400" w:type="dxa"/>
          </w:tcPr>
          <w:p>
            <w:r>
              <w:t xml:space="preserve">Разница к предварительной цене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Предварительный расчёт</w:t>
            </w:r>
          </w:p>
        </w:tc>
        <w:tc>
          <w:tcPr>
            <w:tcW w:w="2400" w:type="dxa"/>
          </w:tcPr>
          <w:p>
            <w:r>
              <w:t xml:space="preserve">Сохраняет исходные значения.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Фактические веса и анализы</w:t>
            </w:r>
          </w:p>
        </w:tc>
        <w:tc>
          <w:tcPr>
            <w:tcW w:w="2400" w:type="dxa"/>
          </w:tcPr>
          <w:p>
            <w:r>
              <w:t xml:space="preserve">Обосновывают окончательные параметры.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Сравнение сумм</w:t>
            </w:r>
          </w:p>
        </w:tc>
        <w:tc>
          <w:tcPr>
            <w:tcW w:w="2400" w:type="dxa"/>
          </w:tcPr>
          <w:p>
            <w:r>
              <w:t xml:space="preserve">Показывает каждую корректировку.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Сбор оснований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поставку и документы</w:t>
      </w:r>
    </w:p>
    <w:p>
      <w:r>
        <w:t xml:space="preserve">☐ Проверить полноту итоговых данных</w:t>
      </w:r>
    </w:p>
    <w:p>
      <w:r>
        <w:t xml:space="preserve">Результат этапа. Расчётный комплект.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Приёмочные значения</w:t>
      </w:r>
    </w:p>
    <w:p>
      <w:r>
        <w:t xml:space="preserve">Роли. Лаборатория, Коммерческий специалист.</w:t>
      </w:r>
    </w:p>
    <w:p>
      <w:r>
        <w:t xml:space="preserve">Нужны решения всех назначенных участников этапа.</w:t>
      </w:r>
    </w:p>
    <w:p>
      <w:r>
        <w:t xml:space="preserve">☐ Согласовать качество и вес</w:t>
      </w:r>
    </w:p>
    <w:p>
      <w:r>
        <w:t xml:space="preserve">☐ Зафиксировать спорные значения</w:t>
      </w:r>
    </w:p>
    <w:p>
      <w:r>
        <w:t xml:space="preserve">Результат этапа. Подтверждённые параметры.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Пересчёт цены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Применить договорную формулу</w:t>
      </w:r>
    </w:p>
    <w:p>
      <w:r>
        <w:t xml:space="preserve">☐ Сохранить котировку и период</w:t>
      </w:r>
    </w:p>
    <w:p>
      <w:r>
        <w:t xml:space="preserve">Результат этапа. Окончательная калькуляция.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Закрытие расчёта</w:t>
      </w:r>
    </w:p>
    <w:p>
      <w:r>
        <w:t xml:space="preserve">Роли. Финансовый руководитель, Юрист.</w:t>
      </w:r>
    </w:p>
    <w:p>
      <w:r>
        <w:t xml:space="preserve">Нужны решения всех назначенных участников этапа.</w:t>
      </w:r>
    </w:p>
    <w:p>
      <w:r>
        <w:t xml:space="preserve">☐ Проверить корректировки</w:t>
      </w:r>
    </w:p>
    <w:p>
      <w:r>
        <w:t xml:space="preserve">☐ Утвердить урегулирование разногласий</w:t>
      </w:r>
    </w:p>
    <w:p>
      <w:r>
        <w:t xml:space="preserve">Результат этапа. Основание расчётных документов.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Окончательный анализ ещё не получен.</w:t>
      </w:r>
    </w:p>
    <w:p>
      <w:r>
        <w:t xml:space="preserve">Сохранить незавершённый расчёт.</w:t>
      </w:r>
    </w:p>
    <w:p>
      <w:r>
        <w:t xml:space="preserve">Ответственный. Лаборатория.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Контрагент оспаривает показатель.</w:t>
      </w:r>
    </w:p>
    <w:p>
      <w:r>
        <w:t xml:space="preserve">Применить согласованную договором процедуру проверки.</w:t>
      </w:r>
    </w:p>
    <w:p>
      <w:r>
        <w:t xml:space="preserve">Ответственный. Юрист.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Срок окончательного расчёта. Дни от получения последнего необходимого документа до утверждения окончательной суммы.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Не устанавливает универсальные допустимые отклонения и не заменяет независимый анализ.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ION. Metals and Mining. Проверено 2026-09-14.</w:t>
      </w:r>
    </w:p>
    <w:p>
      <w:r>
        <w:t xml:space="preserve">https://iongroup.com/industries/commodities/metals-and-mining/</w:t>
      </w:r>
    </w:p>
    <w:p>
      <w:r>
        <w:t xml:space="preserve">Различия фактического и договорного качества, веса и цены. Официальное описание функций. Доли рынка и готовая интеграция с АА.Докс не установлены.</w:t>
      </w:r>
    </w:p>
    <w:p>
      <w:r>
        <w:t xml:space="preserve">ION. Openlink. Проверено 2026-09-14.</w:t>
      </w:r>
    </w:p>
    <w:p>
      <w:r>
        <w:t xml:space="preserve">https://iongroup.com/products/commodities/openlink/</w:t>
      </w:r>
    </w:p>
    <w:p>
      <w:r>
        <w:t xml:space="preserve">CTRM, логистика, сверка и расчёты.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https://aadocs.ru/otrasli/mining-metals/final-settlement</w:t>
      </w:r>
    </w:p>
    <w:p>
      <w:r>
        <w:t xml:space="preserve">Запуск с назначением участников</w:t>
      </w:r>
    </w:p>
    <w:p>
      <w:r>
        <w:t xml:space="preserve">https://app.aadocs.ru/processes/catalog/mining-metals/final-settlement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