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КП на нефтесервисные работы</w:t>
      </w:r>
    </w:p>
    <w:p>
      <w:pPr>
        <w:pStyle w:val="Subtitle"/>
      </w:pPr>
      <w:r>
        <w:t xml:space="preserve">Нефтегаз и нефтесервис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Заказчик запросил цену и готовность выполнить работы на объекте.</w:t>
      </w:r>
    </w:p>
    <w:p>
      <w:r>
        <w:t xml:space="preserve">Утверждены техническое предложение, расчёт стоимости и оговорки для передачи заказчику.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продаж.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Объект</w:t>
            </w:r>
          </w:p>
        </w:tc>
        <w:tc>
          <w:tcPr>
            <w:tcW w:w="2400" w:type="dxa"/>
          </w:tcPr>
          <w:p>
            <w:r>
              <w:t xml:space="preserve">Условная скважина или площадка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Период мобилизации</w:t>
            </w:r>
          </w:p>
        </w:tc>
        <w:tc>
          <w:tcPr>
            <w:tcW w:w="2400" w:type="dxa"/>
          </w:tcPr>
          <w:p>
            <w:r>
              <w:t xml:space="preserve">Начало и окончание окна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Модель цены</w:t>
            </w:r>
          </w:p>
        </w:tc>
        <w:tc>
          <w:tcPr>
            <w:tcW w:w="2400" w:type="dxa"/>
          </w:tcPr>
          <w:p>
            <w:r>
              <w:t xml:space="preserve">Смена, объём либо фиксированный пакет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Техническое задание</w:t>
            </w:r>
          </w:p>
        </w:tc>
        <w:tc>
          <w:tcPr>
            <w:tcW w:w="2400" w:type="dxa"/>
          </w:tcPr>
          <w:p>
            <w:r>
              <w:t xml:space="preserve">Задаёт объект, объём и критерии приёмки.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Калькуляция и мобилизационный план</w:t>
            </w:r>
          </w:p>
        </w:tc>
        <w:tc>
          <w:tcPr>
            <w:tcW w:w="2400" w:type="dxa"/>
          </w:tcPr>
          <w:p>
            <w:r>
              <w:t xml:space="preserve">Подтверждают ресурсы, ставки и сроки.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Матрица требований безопасности</w:t>
            </w:r>
          </w:p>
        </w:tc>
        <w:tc>
          <w:tcPr>
            <w:tcW w:w="2400" w:type="dxa"/>
          </w:tcPr>
          <w:p>
            <w:r>
              <w:t xml:space="preserve">Фиксирует применимые к конкретной работе условия.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Исполнимость задания</w:t>
      </w:r>
    </w:p>
    <w:p>
      <w:r>
        <w:t xml:space="preserve">Роли. Технический руководитель.</w:t>
      </w:r>
    </w:p>
    <w:p>
      <w:r>
        <w:t xml:space="preserve">Решение назначенного участника этапа.</w:t>
      </w:r>
    </w:p>
    <w:p>
      <w:r>
        <w:t xml:space="preserve">☐ Сверить объём и ресурсы</w:t>
      </w:r>
    </w:p>
    <w:p>
      <w:r>
        <w:t xml:space="preserve">☐ Определить критерии сдачи</w:t>
      </w:r>
    </w:p>
    <w:p>
      <w:r>
        <w:t xml:space="preserve">Результат этапа. Подтверждённый технический объём.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Условия выполнения</w:t>
      </w:r>
    </w:p>
    <w:p>
      <w:r>
        <w:t xml:space="preserve">Роли. Специалист по промышленной безопасности.</w:t>
      </w:r>
    </w:p>
    <w:p>
      <w:r>
        <w:t xml:space="preserve">Решение назначенного участника этапа.</w:t>
      </w:r>
    </w:p>
    <w:p>
      <w:r>
        <w:t xml:space="preserve">☐ Проверить применимые требования объекта</w:t>
      </w:r>
    </w:p>
    <w:p>
      <w:r>
        <w:t xml:space="preserve">☐ Зафиксировать недостающие допуски</w:t>
      </w:r>
    </w:p>
    <w:p>
      <w:r>
        <w:t xml:space="preserve">Результат этапа. Заключение по условиям выполнения.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Экономика и условия</w:t>
      </w:r>
    </w:p>
    <w:p>
      <w:r>
        <w:t xml:space="preserve">Роли. Финансист, Юрист.</w:t>
      </w:r>
    </w:p>
    <w:p>
      <w:r>
        <w:t xml:space="preserve">Нужны решения всех назначенных участников этапа.</w:t>
      </w:r>
    </w:p>
    <w:p>
      <w:r>
        <w:t xml:space="preserve">☐ Учесть мобилизацию и простой</w:t>
      </w:r>
    </w:p>
    <w:p>
      <w:r>
        <w:t xml:space="preserve">☐ Проверить оплату и изменение объёма</w:t>
      </w:r>
    </w:p>
    <w:p>
      <w:r>
        <w:t xml:space="preserve">Результат этапа. Расчёт и согласованные оговорки.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Выпуск предложения</w:t>
      </w:r>
    </w:p>
    <w:p>
      <w:r>
        <w:t xml:space="preserve">Роли. Руководитель продаж.</w:t>
      </w:r>
    </w:p>
    <w:p>
      <w:r>
        <w:t xml:space="preserve">Решение назначенного участника этапа.</w:t>
      </w:r>
    </w:p>
    <w:p>
      <w:r>
        <w:t xml:space="preserve">☐ Утвердить ставки и срок действия</w:t>
      </w:r>
    </w:p>
    <w:p>
      <w:r>
        <w:t xml:space="preserve">☐ Проверить состав приложения</w:t>
      </w:r>
    </w:p>
    <w:p>
      <w:r>
        <w:t xml:space="preserve">Результат этапа. Разрешение на передачу КП.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Ресурс недоступен в заданное окно.</w:t>
      </w:r>
    </w:p>
    <w:p>
      <w:r>
        <w:t xml:space="preserve">Пересогласовать срок и расчёт мобилизации.</w:t>
      </w:r>
    </w:p>
    <w:p>
      <w:r>
        <w:t xml:space="preserve">Ответственный. Технический руководитель.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Заказчик меняет критерии приёмки.</w:t>
      </w:r>
    </w:p>
    <w:p>
      <w:r>
        <w:t xml:space="preserve">Обновить техническое приложение и повторно проверить цену.</w:t>
      </w:r>
    </w:p>
    <w:p>
      <w:r>
        <w:t xml:space="preserve">Ответственный. Руководитель продаж.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Доля пересчётов после выпуска. Число КП, пересчитанных из-за неполного объёма / число выпущенных КП.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КП не является допуском персонала или разрешением на опасные работы.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SLB. Guidelines for existing suppliers. Проверено 2026-09-14.</w:t>
      </w:r>
    </w:p>
    <w:p>
      <w:r>
        <w:t xml:space="preserve">https://www.slb.com/partners/embedded-partners-and-suppliers/guidelines-for-existing-suppliers</w:t>
      </w:r>
    </w:p>
    <w:p>
      <w:r>
        <w:t xml:space="preserve">Критерии оценки предложений и подтверждение заказов. Правила конкретной компании. Они не являются общим стандартом отрасли.</w:t>
      </w:r>
    </w:p>
    <w:p>
      <w:r>
        <w:t xml:space="preserve">Деснол. 1С:ТОИР. Проверено 2026-09-14.</w:t>
      </w:r>
    </w:p>
    <w:p>
      <w:r>
        <w:t xml:space="preserve">https://desnol.ru/products/toir/</w:t>
      </w:r>
    </w:p>
    <w:p>
      <w:r>
        <w:t xml:space="preserve">Ремонтный бюджет, МТО, наряды и маршруты.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https://aadocs.ru/otrasli/oil-gas/service-quote</w:t>
      </w:r>
    </w:p>
    <w:p>
      <w:r>
        <w:t xml:space="preserve">Запуск с назначением участников</w:t>
      </w:r>
    </w:p>
    <w:p>
      <w:r>
        <w:t xml:space="preserve">https://app.aadocs.ru/processes/catalog/oil-gas/service-quote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