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Разрешение на отпуск партии нефтепродуктов</w:t>
      </w:r>
    </w:p>
    <w:p>
      <w:pPr>
        <w:pStyle w:val="Subtitle"/>
      </w:pPr>
      <w:r>
        <w:t xml:space="preserve">Нефтегаз и нефтесервис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Получена заявка на отпуск партии по согласованной спецификации.</w:t>
      </w:r>
    </w:p>
    <w:p>
      <w:r>
        <w:t xml:space="preserve">Подтверждена готовность конкретной партии и транспорта к отпуску.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нефтебазы.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Партия</w:t>
            </w:r>
          </w:p>
        </w:tc>
        <w:tc>
          <w:tcPr>
            <w:tcW w:w="2400" w:type="dxa"/>
          </w:tcPr>
          <w:p>
            <w:r>
              <w:t xml:space="preserve">Идентификатор резервуара и партии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Получатель</w:t>
            </w:r>
          </w:p>
        </w:tc>
        <w:tc>
          <w:tcPr>
            <w:tcW w:w="2400" w:type="dxa"/>
          </w:tcPr>
          <w:p>
            <w:r>
              <w:t xml:space="preserve">Контрагент и адрес приёмки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Транспорт</w:t>
            </w:r>
          </w:p>
        </w:tc>
        <w:tc>
          <w:tcPr>
            <w:tcW w:w="2400" w:type="dxa"/>
          </w:tcPr>
          <w:p>
            <w:r>
              <w:t xml:space="preserve">Идентификатор машины или вагонов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Заявка и распоряжение владельца</w:t>
            </w:r>
          </w:p>
        </w:tc>
        <w:tc>
          <w:tcPr>
            <w:tcW w:w="2400" w:type="dxa"/>
          </w:tcPr>
          <w:p>
            <w:r>
              <w:t xml:space="preserve">Подтверждают основание отпуска.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Паспорт качества</w:t>
            </w:r>
          </w:p>
        </w:tc>
        <w:tc>
          <w:tcPr>
            <w:tcW w:w="2400" w:type="dxa"/>
          </w:tcPr>
          <w:p>
            <w:r>
              <w:t xml:space="preserve">Связывает характеристики с конкретной партией.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Транспортный и финансовый комплект</w:t>
            </w:r>
          </w:p>
        </w:tc>
        <w:tc>
          <w:tcPr>
            <w:tcW w:w="2400" w:type="dxa"/>
          </w:tcPr>
          <w:p>
            <w:r>
              <w:t xml:space="preserve">Подтверждает получателя, перевозку и условия расчётов.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Остаток и резерв</w:t>
      </w:r>
    </w:p>
    <w:p>
      <w:r>
        <w:t xml:space="preserve">Роли. Оператор нефтебазы.</w:t>
      </w:r>
    </w:p>
    <w:p>
      <w:r>
        <w:t xml:space="preserve">Решение назначенного участника этапа.</w:t>
      </w:r>
    </w:p>
    <w:p>
      <w:r>
        <w:t xml:space="preserve">☐ Проверить владельца продукта</w:t>
      </w:r>
    </w:p>
    <w:p>
      <w:r>
        <w:t xml:space="preserve">☐ Сопоставить остаток и заявку</w:t>
      </w:r>
    </w:p>
    <w:p>
      <w:r>
        <w:t xml:space="preserve">Результат этапа. Резерв под конкретное распоряжение.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Качество партии</w:t>
      </w:r>
    </w:p>
    <w:p>
      <w:r>
        <w:t xml:space="preserve">Роли. Лаборатория.</w:t>
      </w:r>
    </w:p>
    <w:p>
      <w:r>
        <w:t xml:space="preserve">Решение назначенного участника этапа.</w:t>
      </w:r>
    </w:p>
    <w:p>
      <w:r>
        <w:t xml:space="preserve">☐ Сопоставить паспорт и партию</w:t>
      </w:r>
    </w:p>
    <w:p>
      <w:r>
        <w:t xml:space="preserve">☐ Зафиксировать отклонения от спецификации</w:t>
      </w:r>
    </w:p>
    <w:p>
      <w:r>
        <w:t xml:space="preserve">Результат этапа. Заключение о соответствии.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Транспорт и расчёты</w:t>
      </w:r>
    </w:p>
    <w:p>
      <w:r>
        <w:t xml:space="preserve">Роли. Логист, Финансовый контролер.</w:t>
      </w:r>
    </w:p>
    <w:p>
      <w:r>
        <w:t xml:space="preserve">Нужны решения всех назначенных участников этапа.</w:t>
      </w:r>
    </w:p>
    <w:p>
      <w:r>
        <w:t xml:space="preserve">☐ Подтвердить транспорт и окно</w:t>
      </w:r>
    </w:p>
    <w:p>
      <w:r>
        <w:t xml:space="preserve">☐ Проверить исполнение условий оплаты</w:t>
      </w:r>
    </w:p>
    <w:p>
      <w:r>
        <w:t xml:space="preserve">Результат этапа. Готовность к отпуску.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Разрешение диспетчеру</w:t>
      </w:r>
    </w:p>
    <w:p>
      <w:r>
        <w:t xml:space="preserve">Роли. Руководитель нефтебазы.</w:t>
      </w:r>
    </w:p>
    <w:p>
      <w:r>
        <w:t xml:space="preserve">Решение назначенного участника этапа.</w:t>
      </w:r>
    </w:p>
    <w:p>
      <w:r>
        <w:t xml:space="preserve">☐ Проверить единый комплект</w:t>
      </w:r>
    </w:p>
    <w:p>
      <w:r>
        <w:t xml:space="preserve">☐ Утвердить партию и получателя</w:t>
      </w:r>
    </w:p>
    <w:p>
      <w:r>
        <w:t xml:space="preserve">Результат этапа. Внутреннее разрешение на отгрузку.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Качество не соответствует спецификации.</w:t>
      </w:r>
    </w:p>
    <w:p>
      <w:r>
        <w:t xml:space="preserve">Блокировать разрешение до документированного решения.</w:t>
      </w:r>
    </w:p>
    <w:p>
      <w:r>
        <w:t xml:space="preserve">Ответственный. Лаборатория.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Меняется партия или получатель.</w:t>
      </w:r>
    </w:p>
    <w:p>
      <w:r>
        <w:t xml:space="preserve">Отменить применимость прежнего разрешения и согласовать новый комплект.</w:t>
      </w:r>
    </w:p>
    <w:p>
      <w:r>
        <w:t xml:space="preserve">Ответственный. Оператор нефтебазы.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Отказы готовности. Число заявок, остановленных из-за качества, транспорта или расчётов / число заявок на отпуск.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Физический отпуск, перевозочные документы и финансовый учёт выполняются в профильных системах.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ERP для АЗС. Бэк-офис. Проверено 2026-09-14.</w:t>
      </w:r>
    </w:p>
    <w:p>
      <w:r>
        <w:t xml:space="preserve">https://solutions.1c.ru/catalog/azs-office-erp</w:t>
      </w:r>
    </w:p>
    <w:p>
      <w:r>
        <w:t xml:space="preserve">Управление торговлей и ресурсами сети АЗС и нефтебаз. Официальное описание функций. Доли рынка и готовая интеграция с АА.Докс не установлены.</w:t>
      </w:r>
    </w:p>
    <w:p>
      <w:r>
        <w:t xml:space="preserve">1С. Автоматизация отгрузки НПЗ. Проверено 2026-09-14.</w:t>
      </w:r>
    </w:p>
    <w:p>
      <w:r>
        <w:t xml:space="preserve">https://solutions.1c.ru/news/125600/</w:t>
      </w:r>
    </w:p>
    <w:p>
      <w:r>
        <w:t xml:space="preserve">Связь плана, распоряжения владельца, отгрузки и паспорта качества. Исторический клиентский кейс. Формы документов и текущие правила не подтверждает.</w:t>
      </w:r>
    </w:p>
    <w:p>
      <w:r>
        <w:t xml:space="preserve">Страница маршрута</w:t>
      </w:r>
    </w:p>
    <w:p>
      <w:r>
        <w:t xml:space="preserve">https://aadocs.ru/otrasli/oil-gas/shipment-release</w:t>
      </w:r>
    </w:p>
    <w:p>
      <w:r>
        <w:t xml:space="preserve">Запуск с назначением участников</w:t>
      </w:r>
    </w:p>
    <w:p>
      <w:r>
        <w:t xml:space="preserve">https://app.aadocs.ru/processes/catalog/oil-gas/shipment-release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