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Утверждение конструкции и макета упаковки</w:t>
      </w:r>
    </w:p>
    <w:p>
      <w:pPr>
        <w:pStyle w:val="Subtitle"/>
      </w:pPr>
      <w:r>
        <w:t xml:space="preserve">Бумага, картон и упаковка</w:t>
      </w:r>
    </w:p>
    <w:p>
      <w:r>
        <w:t xml:space="preserve">Рабочий шаблон согласования АА.Докс. Редакция каталога 2026-09-16.</w:t>
      </w:r>
    </w:p>
    <w:p>
      <w:r>
        <w:t xml:space="preserve">Авторская модель для настройки в организации. Поля с подчёркиванием заполняются владельцем процесса. Примеры синтетические, готовые цены и юридические условия не установлены.</w:t>
      </w:r>
    </w:p>
    <w:p>
      <w:pPr>
        <w:pStyle w:val="Heading1"/>
      </w:pPr>
      <w:r>
        <w:t xml:space="preserve">Паспорт решения</w:t>
      </w:r>
    </w:p>
    <w:p>
      <w:r>
        <w:t xml:space="preserve">Подготовлен макет для изготовления оснастки или печати.</w:t>
      </w:r>
    </w:p>
    <w:p>
      <w:r>
        <w:t xml:space="preserve">Утверждены конкретный файл, развёртка и условия перехода в производство.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Параметр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Организация и страна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Дело, договор или заказ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Версия основного документа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Владелец процесса</w:t>
            </w:r>
          </w:p>
        </w:tc>
        <w:tc>
          <w:tcPr>
            <w:tcW w:w="2400" w:type="dxa"/>
          </w:tcPr>
          <w:p>
            <w:r>
              <w:t xml:space="preserve">Руководитель подготовки производства. Назначенный сотрудник ________________</w:t>
            </w:r>
          </w:p>
        </w:tc>
      </w:tr>
      <w:tr>
        <w:tc>
          <w:tcPr>
            <w:tcW w:w="2400" w:type="dxa"/>
          </w:tcPr>
          <w:p>
            <w:r>
              <w:t xml:space="preserve">Дата и предел действия решения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Исходные данные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Поле</w:t>
            </w:r>
          </w:p>
        </w:tc>
        <w:tc>
          <w:tcPr>
            <w:tcW w:w="2400" w:type="dxa"/>
          </w:tcPr>
          <w:p>
            <w:r>
              <w:t xml:space="preserve">Подсказка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Версия</w:t>
            </w:r>
          </w:p>
        </w:tc>
        <w:tc>
          <w:tcPr>
            <w:tcW w:w="2400" w:type="dxa"/>
          </w:tcPr>
          <w:p>
            <w:r>
              <w:t xml:space="preserve">Имя, дата и контрольная сумма файла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Проверка</w:t>
            </w:r>
          </w:p>
        </w:tc>
        <w:tc>
          <w:tcPr>
            <w:tcW w:w="2400" w:type="dxa"/>
          </w:tcPr>
          <w:p>
            <w:r>
              <w:t xml:space="preserve">Экранная версия, проба или образец по договорённости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Оснастка</w:t>
            </w:r>
          </w:p>
        </w:tc>
        <w:tc>
          <w:tcPr>
            <w:tcW w:w="2400" w:type="dxa"/>
          </w:tcPr>
          <w:p>
            <w:r>
              <w:t xml:space="preserve">Связь с утверждённой конструкцией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Документный комплект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Документ</w:t>
            </w:r>
          </w:p>
        </w:tc>
        <w:tc>
          <w:tcPr>
            <w:tcW w:w="2400" w:type="dxa"/>
          </w:tcPr>
          <w:p>
            <w:r>
              <w:t xml:space="preserve">Назначение</w:t>
            </w:r>
          </w:p>
        </w:tc>
        <w:tc>
          <w:tcPr>
            <w:tcW w:w="2400" w:type="dxa"/>
          </w:tcPr>
          <w:p>
            <w:r>
              <w:t xml:space="preserve">Файл и версия</w:t>
            </w:r>
          </w:p>
        </w:tc>
      </w:tr>
      <w:tr>
        <w:tc>
          <w:tcPr>
            <w:tcW w:w="2400" w:type="dxa"/>
          </w:tcPr>
          <w:p>
            <w:r>
              <w:t xml:space="preserve">Файл макета</w:t>
            </w:r>
          </w:p>
        </w:tc>
        <w:tc>
          <w:tcPr>
            <w:tcW w:w="2400" w:type="dxa"/>
          </w:tcPr>
          <w:p>
            <w:r>
              <w:t xml:space="preserve">Точная версия и идентификатор.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Развёртка и спецификация</w:t>
            </w:r>
          </w:p>
        </w:tc>
        <w:tc>
          <w:tcPr>
            <w:tcW w:w="2400" w:type="dxa"/>
          </w:tcPr>
          <w:p>
            <w:r>
              <w:t xml:space="preserve">Геометрия и материал.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Подтверждение заказчика</w:t>
            </w:r>
          </w:p>
        </w:tc>
        <w:tc>
          <w:tcPr>
            <w:tcW w:w="2400" w:type="dxa"/>
          </w:tcPr>
          <w:p>
            <w:r>
              <w:t xml:space="preserve">Содержание и согласованный способ проверки образца.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Маршрут и контрольные вопросы</w:t>
      </w:r>
    </w:p>
    <w:p>
      <w:pPr>
        <w:pStyle w:val="Heading2"/>
      </w:pPr>
      <w:r>
        <w:t xml:space="preserve">1. Версионность</w:t>
      </w:r>
    </w:p>
    <w:p>
      <w:r>
        <w:t xml:space="preserve">Роли. Препресс.</w:t>
      </w:r>
    </w:p>
    <w:p>
      <w:r>
        <w:t xml:space="preserve">Решение назначенного участника этапа.</w:t>
      </w:r>
    </w:p>
    <w:p>
      <w:r>
        <w:t xml:space="preserve">☐ Идентифицировать файл</w:t>
      </w:r>
    </w:p>
    <w:p>
      <w:r>
        <w:t xml:space="preserve">☐ Сверить развёртку</w:t>
      </w:r>
    </w:p>
    <w:p>
      <w:r>
        <w:t xml:space="preserve">Результат этапа. Зафиксированная версия.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2. Технологическая проверка</w:t>
      </w:r>
    </w:p>
    <w:p>
      <w:r>
        <w:t xml:space="preserve">Роли. Технолог.</w:t>
      </w:r>
    </w:p>
    <w:p>
      <w:r>
        <w:t xml:space="preserve">Решение назначенного участника этапа.</w:t>
      </w:r>
    </w:p>
    <w:p>
      <w:r>
        <w:t xml:space="preserve">☐ Проверить материал и отделку</w:t>
      </w:r>
    </w:p>
    <w:p>
      <w:r>
        <w:t xml:space="preserve">☐ Сопоставить оснастку</w:t>
      </w:r>
    </w:p>
    <w:p>
      <w:r>
        <w:t xml:space="preserve">Результат этапа. Техническое заключение.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3. Содержание</w:t>
      </w:r>
    </w:p>
    <w:p>
      <w:r>
        <w:t xml:space="preserve">Роли. Менеджер.</w:t>
      </w:r>
    </w:p>
    <w:p>
      <w:r>
        <w:t xml:space="preserve">Решение назначенного участника этапа.</w:t>
      </w:r>
    </w:p>
    <w:p>
      <w:r>
        <w:t xml:space="preserve">☐ Получить подтверждение заказчика</w:t>
      </w:r>
    </w:p>
    <w:p>
      <w:r>
        <w:t xml:space="preserve">☐ Приложить согласованный образец</w:t>
      </w:r>
    </w:p>
    <w:p>
      <w:r>
        <w:t xml:space="preserve">Результат этапа. Внешнее подтверждение.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4. Разрешение задания</w:t>
      </w:r>
    </w:p>
    <w:p>
      <w:r>
        <w:t xml:space="preserve">Роли. Руководитель подготовки производства.</w:t>
      </w:r>
    </w:p>
    <w:p>
      <w:r>
        <w:t xml:space="preserve">Решение назначенного участника этапа.</w:t>
      </w:r>
    </w:p>
    <w:p>
      <w:r>
        <w:t xml:space="preserve">☐ Сверить все решения</w:t>
      </w:r>
    </w:p>
    <w:p>
      <w:r>
        <w:t xml:space="preserve">☐ Зафиксировать применимую редакцию</w:t>
      </w:r>
    </w:p>
    <w:p>
      <w:r>
        <w:t xml:space="preserve">Результат этапа. Согласованный пакет.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1"/>
      </w:pPr>
      <w:r>
        <w:t xml:space="preserve">Исключения и повторное рассмотрение</w:t>
      </w:r>
    </w:p>
    <w:p>
      <w:r>
        <w:t xml:space="preserve">Условия ниже проверяют сотрудники. В запуске АА.Докс не включено автоматическое условное ветвление.</w:t>
      </w:r>
    </w:p>
    <w:p>
      <w:pPr>
        <w:pStyle w:val="Heading2"/>
      </w:pPr>
      <w:r>
        <w:t xml:space="preserve">Новый макет после изготовления штампа.</w:t>
      </w:r>
    </w:p>
    <w:p>
      <w:r>
        <w:t xml:space="preserve">Оценить пригодность оснастки и согласовать добавочные расходы.</w:t>
      </w:r>
    </w:p>
    <w:p>
      <w:r>
        <w:t xml:space="preserve">Ответственный. Технолог.</w:t>
      </w:r>
    </w:p>
    <w:p>
      <w:r>
        <w:t xml:space="preserve">Принятое действие и новая версия ________________.</w:t>
      </w:r>
    </w:p>
    <w:p>
      <w:pPr>
        <w:pStyle w:val="Heading2"/>
      </w:pPr>
      <w:r>
        <w:t xml:space="preserve">Файл совпадает по имени, но отличается содержимым.</w:t>
      </w:r>
    </w:p>
    <w:p>
      <w:r>
        <w:t xml:space="preserve">Создать новую версию и повторить затронутые проверки.</w:t>
      </w:r>
    </w:p>
    <w:p>
      <w:r>
        <w:t xml:space="preserve">Ответственный. Препресс.</w:t>
      </w:r>
    </w:p>
    <w:p>
      <w:r>
        <w:t xml:space="preserve">Принятое действие и новая версия ________________.</w:t>
      </w:r>
    </w:p>
    <w:p>
      <w:pPr>
        <w:pStyle w:val="Heading1"/>
      </w:pPr>
      <w:r>
        <w:t xml:space="preserve">Журнал изменений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Версия и дата</w:t>
            </w:r>
          </w:p>
        </w:tc>
        <w:tc>
          <w:tcPr>
            <w:tcW w:w="2400" w:type="dxa"/>
          </w:tcPr>
          <w:p>
            <w:r>
              <w:t xml:space="preserve">Что изменено</w:t>
            </w:r>
          </w:p>
        </w:tc>
        <w:tc>
          <w:tcPr>
            <w:tcW w:w="2400" w:type="dxa"/>
          </w:tcPr>
          <w:p>
            <w:r>
              <w:t xml:space="preserve">Повторное решение</w:t>
            </w:r>
          </w:p>
        </w:tc>
      </w:tr>
      <w:tr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Итог решения и внешние подтверждения</w:t>
      </w:r>
    </w:p>
    <w:p>
      <w:r>
        <w:t xml:space="preserve">Согласованная версия ________________. Принятая часть ________________. Открытые вопросы ________________.</w:t>
      </w:r>
    </w:p>
    <w:p>
      <w:r>
        <w:t xml:space="preserve">Подтверждение контрагента, если требуется ________________. Исполнение решения и подтверждающий документ ________________.</w:t>
      </w:r>
    </w:p>
    <w:p>
      <w:r>
        <w:t xml:space="preserve">Внешнюю роль в АА.Докс назначают сотруднику, который собирает подтверждение внешней стороны. Внутреннее согласование не заменяет её решение.</w:t>
      </w:r>
    </w:p>
    <w:p>
      <w:pPr>
        <w:pStyle w:val="Heading1"/>
      </w:pPr>
      <w:r>
        <w:t xml:space="preserve">Метрики</w:t>
      </w:r>
    </w:p>
    <w:p>
      <w:r>
        <w:t xml:space="preserve">Переделки из-за версии. Заказы с переделкой из-за неверного файла / все выпущенные заказы.</w:t>
      </w:r>
    </w:p>
    <w:p>
      <w:r>
        <w:t xml:space="preserve">Доля возвратов. Число завершённых согласований с хотя бы одним возвратом / число завершённых согласований за период. Повторные возвраты одного дела не увеличивают числитель.</w:t>
      </w:r>
    </w:p>
    <w:p>
      <w:pPr>
        <w:pStyle w:val="Heading1"/>
      </w:pPr>
      <w:r>
        <w:t xml:space="preserve">Границы применения</w:t>
      </w:r>
    </w:p>
    <w:p>
      <w:r>
        <w:t xml:space="preserve">Проверка текста маркировки и требований к конкретному товару поручается компетентному владельцу данных.</w:t>
      </w:r>
    </w:p>
    <w:p>
      <w:r>
        <w:t xml:space="preserve">Согласование документа не подтверждает автоматически подпись сторон, оплату, физическое исполнение или разрешение. Лимиты и сроки определяет организация.</w:t>
      </w:r>
    </w:p>
    <w:p>
      <w:pPr>
        <w:pStyle w:val="Heading1"/>
      </w:pPr>
      <w:r>
        <w:t xml:space="preserve">Источники и актуальная версия</w:t>
      </w:r>
    </w:p>
    <w:p>
      <w:r>
        <w:t xml:space="preserve">1С. Функции модуля Полиграфия. Проверено 2026-09-16.</w:t>
      </w:r>
    </w:p>
    <w:p>
      <w:r>
        <w:t xml:space="preserve">https://solutions.1c.ru/catalog/polygraphy-erp/features</w:t>
      </w:r>
    </w:p>
    <w:p>
      <w:r>
        <w:t xml:space="preserve">Макеты, история заказа, техкарты и выпуск. Официальное описание функций. Доли рынка и готовая интеграция с АА.Докс не установлены.</w:t>
      </w:r>
    </w:p>
    <w:p>
      <w:r>
        <w:t xml:space="preserve">ePS. ERP Foundation. Проверено 2026-09-16.</w:t>
      </w:r>
    </w:p>
    <w:p>
      <w:r>
        <w:t xml:space="preserve">https://epssw.com/commandcore/erp</w:t>
      </w:r>
    </w:p>
    <w:p>
      <w:r>
        <w:t xml:space="preserve">Расчёт, предложение и себестоимость заказа. Официальное описание функций. Доли рынка и готовая интеграция с АА.Докс не установлены.</w:t>
      </w:r>
    </w:p>
    <w:p>
      <w:r>
        <w:t xml:space="preserve">Страница маршрута</w:t>
      </w:r>
    </w:p>
    <w:p>
      <w:r>
        <w:t xml:space="preserve">https://aadocs.ru/otrasli/paper-packaging/packaging-artwork</w:t>
      </w:r>
    </w:p>
    <w:p>
      <w:r>
        <w:t xml:space="preserve">Запуск с назначением участников</w:t>
      </w:r>
    </w:p>
    <w:p>
      <w:r>
        <w:t xml:space="preserve">https://app.aadocs.ru/processes/catalog/paper-packaging/packaging-artwork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  <w:lang w:val="ru-RU"/>
      </w:rPr>
    </w:rPrDefault>
    <w:pPrDefault>
      <w:pPr>
        <w:spacing w:after="120"/>
      </w:pPr>
    </w:pPrDefault>
  </w:docDefaults>
  <w:style w:type="paragraph" w:default="1" w:styleId="Normal">
    <w:name w:val="Normal"/>
  </w:style>
  <w:style w:type="paragraph" w:styleId="Title">
    <w:name w:val="Title"/>
    <w:basedOn w:val="Normal"/>
    <w:pPr>
      <w:keepNext/>
      <w:spacing w:before="240" w:after="120"/>
    </w:pPr>
    <w:rPr>
      <w:b/>
      <w:sz w:val="36"/>
    </w:rPr>
  </w:style>
  <w:style w:type="paragraph" w:styleId="Subtitle">
    <w:name w:val="Subtitle"/>
    <w:basedOn w:val="Normal"/>
    <w:pPr>
      <w:keepNext/>
      <w:spacing w:before="240" w:after="120"/>
    </w:pPr>
    <w:rPr>
      <w:b/>
      <w:sz w:val="26"/>
    </w:rPr>
  </w:style>
  <w:style w:type="paragraph" w:styleId="Heading1">
    <w:name w:val="Heading1"/>
    <w:basedOn w:val="Normal"/>
    <w:pPr>
      <w:keepNext/>
      <w:spacing w:before="240" w:after="120"/>
    </w:pPr>
    <w:rPr>
      <w:b/>
      <w:sz w:val="28"/>
    </w:rPr>
  </w:style>
  <w:style w:type="paragraph" w:styleId="Heading2">
    <w:name w:val="Heading2"/>
    <w:basedOn w:val="Normal"/>
    <w:pPr>
      <w:keepNext/>
      <w:spacing w:before="240" w:after="120"/>
    </w:pPr>
    <w:rPr>
      <w:b/>
      <w:sz w:val="24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/Relationships>
</file>