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Утверждение макета перед печатью</w:t>
      </w:r>
    </w:p>
    <w:p>
      <w:pPr>
        <w:pStyle w:val="Subtitle"/>
      </w:pPr>
      <w:r>
        <w:t xml:space="preserve">Полиграфия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 файл для запуска тиража.</w:t>
      </w:r>
    </w:p>
    <w:p>
      <w:r>
        <w:t xml:space="preserve">Зафиксированы техническая пригодность и подтверждение заказчика по одной версии.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препресса.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Файл</w:t>
            </w:r>
          </w:p>
        </w:tc>
        <w:tc>
          <w:tcPr>
            <w:tcW w:w="2400" w:type="dxa"/>
          </w:tcPr>
          <w:p>
            <w:r>
              <w:t xml:space="preserve">Имя, размер и контрольная сумма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Параметры</w:t>
            </w:r>
          </w:p>
        </w:tc>
        <w:tc>
          <w:tcPr>
            <w:tcW w:w="2400" w:type="dxa"/>
          </w:tcPr>
          <w:p>
            <w:r>
              <w:t xml:space="preserve">Формат, полосность и тираж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Проба</w:t>
            </w:r>
          </w:p>
        </w:tc>
        <w:tc>
          <w:tcPr>
            <w:tcW w:w="2400" w:type="dxa"/>
          </w:tcPr>
          <w:p>
            <w:r>
              <w:t xml:space="preserve">Согласованный вид проверки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Файл макета</w:t>
            </w:r>
          </w:p>
        </w:tc>
        <w:tc>
          <w:tcPr>
            <w:tcW w:w="2400" w:type="dxa"/>
          </w:tcPr>
          <w:p>
            <w:r>
              <w:t xml:space="preserve">Идентификатор и точная версия.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Задание на тираж</w:t>
            </w:r>
          </w:p>
        </w:tc>
        <w:tc>
          <w:tcPr>
            <w:tcW w:w="2400" w:type="dxa"/>
          </w:tcPr>
          <w:p>
            <w:r>
              <w:t xml:space="preserve">Параметры изделия и отделки.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Проба или лист согласования</w:t>
            </w:r>
          </w:p>
        </w:tc>
        <w:tc>
          <w:tcPr>
            <w:tcW w:w="2400" w:type="dxa"/>
          </w:tcPr>
          <w:p>
            <w:r>
              <w:t xml:space="preserve">Применимый способ проверки и решение клиента.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Файл</w:t>
      </w:r>
    </w:p>
    <w:p>
      <w:r>
        <w:t xml:space="preserve">Роли. Препресс.</w:t>
      </w:r>
    </w:p>
    <w:p>
      <w:r>
        <w:t xml:space="preserve">Решение назначенного участника этапа.</w:t>
      </w:r>
    </w:p>
    <w:p>
      <w:r>
        <w:t xml:space="preserve">☐ Проверить техническую пригодность</w:t>
      </w:r>
    </w:p>
    <w:p>
      <w:r>
        <w:t xml:space="preserve">☐ Зафиксировать идентификатор</w:t>
      </w:r>
    </w:p>
    <w:p>
      <w:r>
        <w:t xml:space="preserve">Результат этапа. Протокол файла.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Соответствие заказу</w:t>
      </w:r>
    </w:p>
    <w:p>
      <w:r>
        <w:t xml:space="preserve">Роли. Технолог.</w:t>
      </w:r>
    </w:p>
    <w:p>
      <w:r>
        <w:t xml:space="preserve">Решение назначенного участника этапа.</w:t>
      </w:r>
    </w:p>
    <w:p>
      <w:r>
        <w:t xml:space="preserve">☐ Сверить полосность и отделку</w:t>
      </w:r>
    </w:p>
    <w:p>
      <w:r>
        <w:t xml:space="preserve">☐ Сопоставить техкарту</w:t>
      </w:r>
    </w:p>
    <w:p>
      <w:r>
        <w:t xml:space="preserve">Результат этапа. Техническое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Подтверждение содержания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Получить решение заказчика</w:t>
      </w:r>
    </w:p>
    <w:p>
      <w:r>
        <w:t xml:space="preserve">☐ Приложить пробу при её наличии</w:t>
      </w:r>
    </w:p>
    <w:p>
      <w:r>
        <w:t xml:space="preserve">Результат этапа. Внешнее подтверждение.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Передача задания</w:t>
      </w:r>
    </w:p>
    <w:p>
      <w:r>
        <w:t xml:space="preserve">Роли. Руководитель препресса.</w:t>
      </w:r>
    </w:p>
    <w:p>
      <w:r>
        <w:t xml:space="preserve">Решение назначенного участника этапа.</w:t>
      </w:r>
    </w:p>
    <w:p>
      <w:r>
        <w:t xml:space="preserve">☐ Убедиться в единой версии</w:t>
      </w:r>
    </w:p>
    <w:p>
      <w:r>
        <w:t xml:space="preserve">☐ Зафиксировать разрешённый файл</w:t>
      </w:r>
    </w:p>
    <w:p>
      <w:r>
        <w:t xml:space="preserve">Результат этапа. Согласованное задание.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Новый PDF имеет прежнее имя.</w:t>
      </w:r>
    </w:p>
    <w:p>
      <w:r>
        <w:t xml:space="preserve">Определить новую версию и повторить согласование.</w:t>
      </w:r>
    </w:p>
    <w:p>
      <w:r>
        <w:t xml:space="preserve">Ответственный. Препресс.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Полосность не совпадает с расчётом.</w:t>
      </w:r>
    </w:p>
    <w:p>
      <w:r>
        <w:t xml:space="preserve">Остановить передачу задания до проверки спуска и цены.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Текстовое сообщение о последнем файле не подменяет идентификацию версии. Физический запуск выполняет производство.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Принт-Эксперт. Расчёт заказов. Проверено 2026-09-16.</w:t>
      </w:r>
    </w:p>
    <w:p>
      <w:r>
        <w:t xml:space="preserve">https://print-expert.net/main-page-capabilities/calc/</w:t>
      </w:r>
    </w:p>
    <w:p>
      <w:r>
        <w:t xml:space="preserve">Калькуляция, техкарта и материалы. Официальное описание функций. Доли рынка и готовая интеграция с АА.Докс не установлены.</w:t>
      </w:r>
    </w:p>
    <w:p>
      <w:r>
        <w:t xml:space="preserve">Моноритм. ASystem. Проверено 2026-09-16.</w:t>
      </w:r>
    </w:p>
    <w:p>
      <w:r>
        <w:t xml:space="preserve">https://monorhythm.ru/produkty/asystem/</w:t>
      </w:r>
    </w:p>
    <w:p>
      <w:r>
        <w:t xml:space="preserve">Производственный учёт и себестоимость.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https://aadocs.ru/otrasli/printing/print-proof</w:t>
      </w:r>
    </w:p>
    <w:p>
      <w:r>
        <w:t xml:space="preserve">Запуск с назначением участников</w:t>
      </w:r>
    </w:p>
    <w:p>
      <w:r>
        <w:t xml:space="preserve">https://app.aadocs.ru/processes/catalog/printing/print-proof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