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Приёмка этапа и основание для счёта</w:t>
      </w:r>
    </w:p>
    <w:p>
      <w:pPr>
        <w:pStyle w:val="Subtitle"/>
      </w:pPr>
      <w:r>
        <w:t xml:space="preserve">Профессиональные услуги и агентства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Этап или отчётный период завершён и готов к приёмке.</w:t>
      </w:r>
    </w:p>
    <w:p>
      <w:r>
        <w:t xml:space="preserve">Подтверждены версия результата, принятый объём и сумма для выставления счёта.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проекта.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Версия</w:t>
            </w:r>
          </w:p>
        </w:tc>
        <w:tc>
          <w:tcPr>
            <w:tcW w:w="2400" w:type="dxa"/>
          </w:tcPr>
          <w:p>
            <w:r>
              <w:t xml:space="preserve">Идентификатор переданного результата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Объём</w:t>
            </w:r>
          </w:p>
        </w:tc>
        <w:tc>
          <w:tcPr>
            <w:tcW w:w="2400" w:type="dxa"/>
          </w:tcPr>
          <w:p>
            <w:r>
              <w:t xml:space="preserve">Принятые работы и часы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Сумма</w:t>
            </w:r>
          </w:p>
        </w:tc>
        <w:tc>
          <w:tcPr>
            <w:tcW w:w="2400" w:type="dxa"/>
          </w:tcPr>
          <w:p>
            <w:r>
              <w:t xml:space="preserve">Расчёт по ставкам договора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Результат этапа</w:t>
            </w:r>
          </w:p>
        </w:tc>
        <w:tc>
          <w:tcPr>
            <w:tcW w:w="2400" w:type="dxa"/>
          </w:tcPr>
          <w:p>
            <w:r>
              <w:t xml:space="preserve">Фиксирует переданную версию.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Отчёт времени и расходов</w:t>
            </w:r>
          </w:p>
        </w:tc>
        <w:tc>
          <w:tcPr>
            <w:tcW w:w="2400" w:type="dxa"/>
          </w:tcPr>
          <w:p>
            <w:r>
              <w:t xml:space="preserve">Обосновывает расчёт по договору.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Решение клиента</w:t>
            </w:r>
          </w:p>
        </w:tc>
        <w:tc>
          <w:tcPr>
            <w:tcW w:w="2400" w:type="dxa"/>
          </w:tcPr>
          <w:p>
            <w:r>
              <w:t xml:space="preserve">Подтверждает приёмку или замечания.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Комплект результата</w:t>
      </w:r>
    </w:p>
    <w:p>
      <w:r>
        <w:t xml:space="preserve">Роли. Руководитель проекта.</w:t>
      </w:r>
    </w:p>
    <w:p>
      <w:r>
        <w:t xml:space="preserve">Решение назначенного участника этапа.</w:t>
      </w:r>
    </w:p>
    <w:p>
      <w:r>
        <w:t xml:space="preserve">☐ Сверить задание</w:t>
      </w:r>
    </w:p>
    <w:p>
      <w:r>
        <w:t xml:space="preserve">☐ Собрать передаваемые материалы</w:t>
      </w:r>
    </w:p>
    <w:p>
      <w:r>
        <w:t xml:space="preserve">Результат этапа. Пакет сдачи.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Профессиональная проверка</w:t>
      </w:r>
    </w:p>
    <w:p>
      <w:r>
        <w:t xml:space="preserve">Роли. Руководитель практики.</w:t>
      </w:r>
    </w:p>
    <w:p>
      <w:r>
        <w:t xml:space="preserve">Решение назначенного участника этапа.</w:t>
      </w:r>
    </w:p>
    <w:p>
      <w:r>
        <w:t xml:space="preserve">☐ Проверить качество</w:t>
      </w:r>
    </w:p>
    <w:p>
      <w:r>
        <w:t xml:space="preserve">☐ Закрыть внутренние замечания</w:t>
      </w:r>
    </w:p>
    <w:p>
      <w:r>
        <w:t xml:space="preserve">Результат этапа. Готовность к приёмке.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Внешнее решение</w:t>
      </w:r>
    </w:p>
    <w:p>
      <w:r>
        <w:t xml:space="preserve">Роли. Аккаунт-менеджер.</w:t>
      </w:r>
    </w:p>
    <w:p>
      <w:r>
        <w:t xml:space="preserve">Решение назначенного участника этапа.</w:t>
      </w:r>
    </w:p>
    <w:p>
      <w:r>
        <w:t xml:space="preserve">☐ Приложить решение клиента</w:t>
      </w:r>
    </w:p>
    <w:p>
      <w:r>
        <w:t xml:space="preserve">☐ Выделить непринятые позиции</w:t>
      </w:r>
    </w:p>
    <w:p>
      <w:r>
        <w:t xml:space="preserve">Результат этапа. Проверенное основание приёмки.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Расчётные документы</w:t>
      </w:r>
    </w:p>
    <w:p>
      <w:r>
        <w:t xml:space="preserve">Роли. Бухгалтер.</w:t>
      </w:r>
    </w:p>
    <w:p>
      <w:r>
        <w:t xml:space="preserve">Решение назначенного участника этапа.</w:t>
      </w:r>
    </w:p>
    <w:p>
      <w:r>
        <w:t xml:space="preserve">☐ Сверить ставки и объём</w:t>
      </w:r>
    </w:p>
    <w:p>
      <w:r>
        <w:t xml:space="preserve">☐ Проверить подтверждённые расходы</w:t>
      </w:r>
    </w:p>
    <w:p>
      <w:r>
        <w:t xml:space="preserve">Результат этапа. Комплект для счёта.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Клиент вернул замечания.</w:t>
      </w:r>
    </w:p>
    <w:p>
      <w:r>
        <w:t xml:space="preserve">Сохранить версию и направить конкретные несоответствия на доработку.</w:t>
      </w:r>
    </w:p>
    <w:p>
      <w:r>
        <w:t xml:space="preserve">Ответственный. Руководитель проекта.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Часы превышают подтверждённый лимит.</w:t>
      </w:r>
    </w:p>
    <w:p>
      <w:r>
        <w:t xml:space="preserve">Не включать превышение без отдельного основания.</w:t>
      </w:r>
    </w:p>
    <w:p>
      <w:r>
        <w:t xml:space="preserve">Ответственный. Бухгалтер.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Период между сдачей и счётом. Дни от передачи полного результата до разрешения выставить счёт.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Счёт и акт оформляются отдельно. Учёт времени не доказывает его принятия клиентом.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1С:УНФ для услуг. Проверено 2026-09-14.</w:t>
      </w:r>
    </w:p>
    <w:p>
      <w:r>
        <w:t xml:space="preserve">https://v8.1c.ru/small.biz/uslugi/</w:t>
      </w:r>
    </w:p>
    <w:p>
      <w:r>
        <w:t xml:space="preserve">Заказы, время, загрузка и регулярные счета. Официальное описание функций. Доли рынка и готовая интеграция с АА.Докс не установлены.</w:t>
      </w:r>
    </w:p>
    <w:p>
      <w:r>
        <w:t xml:space="preserve">Planfix. Data Tags. Проверено 2026-09-14.</w:t>
      </w:r>
    </w:p>
    <w:p>
      <w:r>
        <w:t xml:space="preserve">https://planfix.com/features/data-tags/</w:t>
      </w:r>
    </w:p>
    <w:p>
      <w:r>
        <w:t xml:space="preserve">Время, доходы, расходы и расчётные поля.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https://aadocs.ru/otrasli/professional-services/deliverable-acceptance</w:t>
      </w:r>
    </w:p>
    <w:p>
      <w:r>
        <w:t xml:space="preserve">Запуск с назначением участников</w:t>
      </w:r>
    </w:p>
    <w:p>
      <w:r>
        <w:t xml:space="preserve">https://app.aadocs.ru/processes/catalog/professional-services/deliverable-acceptance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