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Предложение и бюджет проекта услуг</w:t>
      </w:r>
    </w:p>
    <w:p>
      <w:pPr>
        <w:pStyle w:val="Subtitle"/>
      </w:pPr>
      <w:r>
        <w:t xml:space="preserve">Профессиональные услуги и агентства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Бриф готов к оценке стоимости и команды.</w:t>
      </w:r>
    </w:p>
    <w:p>
      <w:r>
        <w:t xml:space="preserve">Одобрены объём, бюджет и критерии результата.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директор.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Результаты</w:t>
            </w:r>
          </w:p>
        </w:tc>
        <w:tc>
          <w:tcPr>
            <w:tcW w:w="2400" w:type="dxa"/>
          </w:tcPr>
          <w:p>
            <w:r>
              <w:t xml:space="preserve">Перечень передаваемых материалов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Итерации</w:t>
            </w:r>
          </w:p>
        </w:tc>
        <w:tc>
          <w:tcPr>
            <w:tcW w:w="2400" w:type="dxa"/>
          </w:tcPr>
          <w:p>
            <w:r>
              <w:t xml:space="preserve">Включённые циклы правок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Расходы</w:t>
            </w:r>
          </w:p>
        </w:tc>
        <w:tc>
          <w:tcPr>
            <w:tcW w:w="2400" w:type="dxa"/>
          </w:tcPr>
          <w:p>
            <w:r>
              <w:t xml:space="preserve">Подрядчики и лицензии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Бриф</w:t>
            </w:r>
          </w:p>
        </w:tc>
        <w:tc>
          <w:tcPr>
            <w:tcW w:w="2400" w:type="dxa"/>
          </w:tcPr>
          <w:p>
            <w:r>
              <w:t xml:space="preserve">Фиксирует потребность и ограничения.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План ресурсов</w:t>
            </w:r>
          </w:p>
        </w:tc>
        <w:tc>
          <w:tcPr>
            <w:tcW w:w="2400" w:type="dxa"/>
          </w:tcPr>
          <w:p>
            <w:r>
              <w:t xml:space="preserve">Подтверждает роли и часы.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Смета и спецификация</w:t>
            </w:r>
          </w:p>
        </w:tc>
        <w:tc>
          <w:tcPr>
            <w:tcW w:w="2400" w:type="dxa"/>
          </w:tcPr>
          <w:p>
            <w:r>
              <w:t xml:space="preserve">Определяют цену и приёмку.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Постановка задачи</w:t>
      </w:r>
    </w:p>
    <w:p>
      <w:r>
        <w:t xml:space="preserve">Роли. Аккаунт-менеджер.</w:t>
      </w:r>
    </w:p>
    <w:p>
      <w:r>
        <w:t xml:space="preserve">Решение назначенного участника этапа.</w:t>
      </w:r>
    </w:p>
    <w:p>
      <w:r>
        <w:t xml:space="preserve">☐ Уточнить бриф</w:t>
      </w:r>
    </w:p>
    <w:p>
      <w:r>
        <w:t xml:space="preserve">☐ Определить границы результата</w:t>
      </w:r>
    </w:p>
    <w:p>
      <w:r>
        <w:t xml:space="preserve">Результат этапа. Описание работ.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Оценка исполнения</w:t>
      </w:r>
    </w:p>
    <w:p>
      <w:r>
        <w:t xml:space="preserve">Роли. Руководитель проекта, Руководитель практики.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часы</w:t>
      </w:r>
    </w:p>
    <w:p>
      <w:r>
        <w:t xml:space="preserve">☐ Подтвердить команду и график</w:t>
      </w:r>
    </w:p>
    <w:p>
      <w:r>
        <w:t xml:space="preserve">Результат этапа. План ресурсов.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Экономика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Сверить ставки и расходы</w:t>
      </w:r>
    </w:p>
    <w:p>
      <w:r>
        <w:t xml:space="preserve">☐ Проверить платёжный график</w:t>
      </w:r>
    </w:p>
    <w:p>
      <w:r>
        <w:t xml:space="preserve">Результат этапа. Одобренная смета.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Выпуск предложения</w:t>
      </w:r>
    </w:p>
    <w:p>
      <w:r>
        <w:t xml:space="preserve">Роли. Коммерческий директор.</w:t>
      </w:r>
    </w:p>
    <w:p>
      <w:r>
        <w:t xml:space="preserve">Решение назначенного участника этапа.</w:t>
      </w:r>
    </w:p>
    <w:p>
      <w:r>
        <w:t xml:space="preserve">☐ Утвердить критерии приёмки</w:t>
      </w:r>
    </w:p>
    <w:p>
      <w:r>
        <w:t xml:space="preserve">☐ Проверить договорные приложения</w:t>
      </w:r>
    </w:p>
    <w:p>
      <w:r>
        <w:t xml:space="preserve">Результат этапа. Разрешение на КП.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Клиент не предоставляет материалы.</w:t>
      </w:r>
    </w:p>
    <w:p>
      <w:r>
        <w:t xml:space="preserve">Уточнить зависимость и срок оценки.</w:t>
      </w:r>
    </w:p>
    <w:p>
      <w:r>
        <w:t xml:space="preserve">Ответственный. Аккаунт-менеджер.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Нужен внешний подрядчик.</w:t>
      </w:r>
    </w:p>
    <w:p>
      <w:r>
        <w:t xml:space="preserve">Подтвердить цену и права на результат.</w:t>
      </w:r>
    </w:p>
    <w:p>
      <w:r>
        <w:t xml:space="preserve">Ответственный. Руководитель практики.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Отклонение трудоёмкости. Фактические часы согласованного объёма минус плановые. Новый объём учитывать отдельно.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назначает автоматически сотрудников в проектной системе и не обещает фиксированную прибыль.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1С:УНФ для услуг. Проверено 2026-09-14.</w:t>
      </w:r>
    </w:p>
    <w:p>
      <w:r>
        <w:t xml:space="preserve">https://v8.1c.ru/small.biz/uslugi/</w:t>
      </w:r>
    </w:p>
    <w:p>
      <w:r>
        <w:t xml:space="preserve">Заказы, время, загрузка и регулярные счета. Официальное описание функций. Доли рынка и готовая интеграция с АА.Докс не установлены.</w:t>
      </w:r>
    </w:p>
    <w:p>
      <w:r>
        <w:t xml:space="preserve">Scoro. Approval of quotes, invoices and purchase orders. Проверено 2026-09-14.</w:t>
      </w:r>
    </w:p>
    <w:p>
      <w:r>
        <w:t xml:space="preserve">https://support.scoro.com/hc/en-us/articles/28103835751309-Approval-of-quotes-invoices-and-purchase-orders</w:t>
      </w:r>
    </w:p>
    <w:p>
      <w:r>
        <w:t xml:space="preserve">Пороговые согласования и повторная подача. Доступность зависит от комплектации продукта.</w:t>
      </w:r>
    </w:p>
    <w:p>
      <w:r>
        <w:t xml:space="preserve">Страница маршрута</w:t>
      </w:r>
    </w:p>
    <w:p>
      <w:r>
        <w:t xml:space="preserve">https://aadocs.ru/otrasli/professional-services/project-proposal</w:t>
      </w:r>
    </w:p>
    <w:p>
      <w:r>
        <w:t xml:space="preserve">Запуск с назначением участников</w:t>
      </w:r>
    </w:p>
    <w:p>
      <w:r>
        <w:t xml:space="preserve">https://app.aadocs.ru/processes/catalog/professional-services/project-proposal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