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Изменение объёма или превышение сопровождения</w:t>
      </w:r>
    </w:p>
    <w:p>
      <w:pPr>
        <w:pStyle w:val="Subtitle"/>
      </w:pPr>
      <w:r>
        <w:t xml:space="preserve">Профессиональные услуги и агентства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Поступил запрос вне действующей спецификации или лимита сопровождения.</w:t>
      </w:r>
    </w:p>
    <w:p>
      <w:r>
        <w:t xml:space="preserve">Одобрены дополнительный результат, цена и срок с подтверждением клиента.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проекта.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Отличие</w:t>
            </w:r>
          </w:p>
        </w:tc>
        <w:tc>
          <w:tcPr>
            <w:tcW w:w="2400" w:type="dxa"/>
          </w:tcPr>
          <w:p>
            <w:r>
              <w:t xml:space="preserve">Новая задача относительно договора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Часы</w:t>
            </w:r>
          </w:p>
        </w:tc>
        <w:tc>
          <w:tcPr>
            <w:tcW w:w="2400" w:type="dxa"/>
          </w:tcPr>
          <w:p>
            <w:r>
              <w:t xml:space="preserve">Добавление по ролям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Доплата</w:t>
            </w:r>
          </w:p>
        </w:tc>
        <w:tc>
          <w:tcPr>
            <w:tcW w:w="2400" w:type="dxa"/>
          </w:tcPr>
          <w:p>
            <w:r>
              <w:t xml:space="preserve">Сумма и период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Исходная спецификация</w:t>
            </w:r>
          </w:p>
        </w:tc>
        <w:tc>
          <w:tcPr>
            <w:tcW w:w="2400" w:type="dxa"/>
          </w:tcPr>
          <w:p>
            <w:r>
              <w:t xml:space="preserve">Позволяет отделить новое требование.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Оценка добавления</w:t>
            </w:r>
          </w:p>
        </w:tc>
        <w:tc>
          <w:tcPr>
            <w:tcW w:w="2400" w:type="dxa"/>
          </w:tcPr>
          <w:p>
            <w:r>
              <w:t xml:space="preserve">Обосновывает часы и ресурсы.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Подтверждение заказчика</w:t>
            </w:r>
          </w:p>
        </w:tc>
        <w:tc>
          <w:tcPr>
            <w:tcW w:w="2400" w:type="dxa"/>
          </w:tcPr>
          <w:p>
            <w:r>
              <w:t xml:space="preserve">Фиксирует принятые изменения.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Граница объёма</w:t>
      </w:r>
    </w:p>
    <w:p>
      <w:r>
        <w:t xml:space="preserve">Роли. Руководитель проекта.</w:t>
      </w:r>
    </w:p>
    <w:p>
      <w:r>
        <w:t xml:space="preserve">Решение назначенного участника этапа.</w:t>
      </w:r>
    </w:p>
    <w:p>
      <w:r>
        <w:t xml:space="preserve">☐ Сопоставить запрос и договор</w:t>
      </w:r>
    </w:p>
    <w:p>
      <w:r>
        <w:t xml:space="preserve">☐ Отделить правку от новой задачи</w:t>
      </w:r>
    </w:p>
    <w:p>
      <w:r>
        <w:t xml:space="preserve">Результат этапа. Основание изменения.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Дополнительная работа</w:t>
      </w:r>
    </w:p>
    <w:p>
      <w:r>
        <w:t xml:space="preserve">Роли. Руководитель практики.</w:t>
      </w:r>
    </w:p>
    <w:p>
      <w:r>
        <w:t xml:space="preserve">Решение назначенного участника этапа.</w:t>
      </w:r>
    </w:p>
    <w:p>
      <w:r>
        <w:t xml:space="preserve">☐ Оценить трудоёмкость</w:t>
      </w:r>
    </w:p>
    <w:p>
      <w:r>
        <w:t xml:space="preserve">☐ Проверить влияние на результат</w:t>
      </w:r>
    </w:p>
    <w:p>
      <w:r>
        <w:t xml:space="preserve">Результат этапа. Техническая оценка.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Новая экономика</w:t>
      </w:r>
    </w:p>
    <w:p>
      <w:r>
        <w:t xml:space="preserve">Роли. Финансовый контролер.</w:t>
      </w:r>
    </w:p>
    <w:p>
      <w:r>
        <w:t xml:space="preserve">Решение назначенного участника этапа.</w:t>
      </w:r>
    </w:p>
    <w:p>
      <w:r>
        <w:t xml:space="preserve">☐ Подтвердить доплату</w:t>
      </w:r>
    </w:p>
    <w:p>
      <w:r>
        <w:t xml:space="preserve">☐ Учесть расходы и сроки</w:t>
      </w:r>
    </w:p>
    <w:p>
      <w:r>
        <w:t xml:space="preserve">Результат этапа. Пересчитанная смета.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Основание клиента</w:t>
      </w:r>
    </w:p>
    <w:p>
      <w:r>
        <w:t xml:space="preserve">Роли. Владелец договора.</w:t>
      </w:r>
    </w:p>
    <w:p>
      <w:r>
        <w:t xml:space="preserve">Решение назначенного участника этапа.</w:t>
      </w:r>
    </w:p>
    <w:p>
      <w:r>
        <w:t xml:space="preserve">☐ Проверить полномочия внешнего согласующего</w:t>
      </w:r>
    </w:p>
    <w:p>
      <w:r>
        <w:t xml:space="preserve">☐ Приложить подтверждённую редакцию</w:t>
      </w:r>
    </w:p>
    <w:p>
      <w:r>
        <w:t xml:space="preserve">Результат этапа. Разрешение выполнять добавление.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Клиент считает запрос включённым.</w:t>
      </w:r>
    </w:p>
    <w:p>
      <w:r>
        <w:t xml:space="preserve">Зафиксировать спор о границах и согласовать позицию.</w:t>
      </w:r>
    </w:p>
    <w:p>
      <w:r>
        <w:t xml:space="preserve">Ответственный. Владелец договора.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Подтверждена только часть работ.</w:t>
      </w:r>
    </w:p>
    <w:p>
      <w:r>
        <w:t xml:space="preserve">Ограничить новую спецификацию принятым объёмом.</w:t>
      </w:r>
    </w:p>
    <w:p>
      <w:r>
        <w:t xml:space="preserve">Ответственный. Руководитель проекта.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Допработы с согласованной ценой. Дополнительные работы с подтверждённой ценой до выполнения / все дополнительные работы.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Внутреннее решение сотрудника не заменяет подтверждение заказчика.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Planfix. Data Tags. Проверено 2026-09-14.</w:t>
      </w:r>
    </w:p>
    <w:p>
      <w:r>
        <w:t xml:space="preserve">https://planfix.com/features/data-tags/</w:t>
      </w:r>
    </w:p>
    <w:p>
      <w:r>
        <w:t xml:space="preserve">Время, доходы, расходы и расчётные поля. Официальное описание функций. Доли рынка и готовая интеграция с АА.Докс не установлены.</w:t>
      </w:r>
    </w:p>
    <w:p>
      <w:r>
        <w:t xml:space="preserve">Scoro. Approval of quotes, invoices and purchase orders. Проверено 2026-09-14.</w:t>
      </w:r>
    </w:p>
    <w:p>
      <w:r>
        <w:t xml:space="preserve">https://support.scoro.com/hc/en-us/articles/28103835751309-Approval-of-quotes-invoices-and-purchase-orders</w:t>
      </w:r>
    </w:p>
    <w:p>
      <w:r>
        <w:t xml:space="preserve">Пороговые согласования и повторная подача. Доступность зависит от комплектации продукта.</w:t>
      </w:r>
    </w:p>
    <w:p>
      <w:r>
        <w:t xml:space="preserve">Страница маршрута</w:t>
      </w:r>
    </w:p>
    <w:p>
      <w:r>
        <w:t xml:space="preserve">https://aadocs.ru/otrasli/professional-services/scope-change</w:t>
      </w:r>
    </w:p>
    <w:p>
      <w:r>
        <w:t xml:space="preserve">Запуск с назначением участников</w:t>
      </w:r>
    </w:p>
    <w:p>
      <w:r>
        <w:t xml:space="preserve">https://app.aadocs.ru/processes/catalog/professional-services/scope-change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