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Приёмка исполнения и комплект расчётов</w:t>
      </w:r>
    </w:p>
    <w:p>
      <w:pPr>
        <w:pStyle w:val="Subtitle"/>
      </w:pPr>
      <w:r>
        <w:t xml:space="preserve">Регламентированные и публичные закупки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Поставщик предъявил товар, работу или услугу по контракту.</w:t>
      </w:r>
    </w:p>
    <w:p>
      <w:r>
        <w:t xml:space="preserve">Зафиксированы проверенный результат и основания для внешнего оформления.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Ответственный за приёмку.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Контракт</w:t>
            </w:r>
          </w:p>
        </w:tc>
        <w:tc>
          <w:tcPr>
            <w:tcW w:w="2400" w:type="dxa"/>
          </w:tcPr>
          <w:p>
            <w:r>
              <w:t xml:space="preserve">Идентификатор и этап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Исполнение</w:t>
            </w:r>
          </w:p>
        </w:tc>
        <w:tc>
          <w:tcPr>
            <w:tcW w:w="2400" w:type="dxa"/>
          </w:tcPr>
          <w:p>
            <w:r>
              <w:t xml:space="preserve">Предъявленный и принятый объём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Внешний акт</w:t>
            </w:r>
          </w:p>
        </w:tc>
        <w:tc>
          <w:tcPr>
            <w:tcW w:w="2400" w:type="dxa"/>
          </w:tcPr>
          <w:p>
            <w:r>
              <w:t xml:space="preserve">Идентификатор и действующая версия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Контракт и приложения</w:t>
            </w:r>
          </w:p>
        </w:tc>
        <w:tc>
          <w:tcPr>
            <w:tcW w:w="2400" w:type="dxa"/>
          </w:tcPr>
          <w:p>
            <w:r>
              <w:t xml:space="preserve">Определяют согласованный результат.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Материалы исполнения</w:t>
            </w:r>
          </w:p>
        </w:tc>
        <w:tc>
          <w:tcPr>
            <w:tcW w:w="2400" w:type="dxa"/>
          </w:tcPr>
          <w:p>
            <w:r>
              <w:t xml:space="preserve">Подтверждают поставку или выполненный объём.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Проект акта и расчёт</w:t>
            </w:r>
          </w:p>
        </w:tc>
        <w:tc>
          <w:tcPr>
            <w:tcW w:w="2400" w:type="dxa"/>
          </w:tcPr>
          <w:p>
            <w:r>
              <w:t xml:space="preserve">Фиксируют приёмку и сумму.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Комплект предъявления</w:t>
      </w:r>
    </w:p>
    <w:p>
      <w:r>
        <w:t xml:space="preserve">Роли. Договорной менеджер.</w:t>
      </w:r>
    </w:p>
    <w:p>
      <w:r>
        <w:t xml:space="preserve">Решение назначенного участника этапа.</w:t>
      </w:r>
    </w:p>
    <w:p>
      <w:r>
        <w:t xml:space="preserve">☐ Сверить этап</w:t>
      </w:r>
    </w:p>
    <w:p>
      <w:r>
        <w:t xml:space="preserve">☐ Собрать приложения</w:t>
      </w:r>
    </w:p>
    <w:p>
      <w:r>
        <w:t xml:space="preserve">Результат этапа. Пакет приёмки.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Проверка результата</w:t>
      </w:r>
    </w:p>
    <w:p>
      <w:r>
        <w:t xml:space="preserve">Роли. Ответственный за приёмку.</w:t>
      </w:r>
    </w:p>
    <w:p>
      <w:r>
        <w:t xml:space="preserve">Решение назначенного участника этапа.</w:t>
      </w:r>
    </w:p>
    <w:p>
      <w:r>
        <w:t xml:space="preserve">☐ Сопоставить факт и условия</w:t>
      </w:r>
    </w:p>
    <w:p>
      <w:r>
        <w:t xml:space="preserve">☐ Зафиксировать замечания</w:t>
      </w:r>
    </w:p>
    <w:p>
      <w:r>
        <w:t xml:space="preserve">Результат этапа. Заключение о результате.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Расчётные основания</w:t>
      </w:r>
    </w:p>
    <w:p>
      <w:r>
        <w:t xml:space="preserve">Роли. Бухгалтер, Юрист.</w:t>
      </w:r>
    </w:p>
    <w:p>
      <w:r>
        <w:t xml:space="preserve">Нужны решения всех назначенных участников этапа.</w:t>
      </w:r>
    </w:p>
    <w:p>
      <w:r>
        <w:t xml:space="preserve">☐ Проверить сумму</w:t>
      </w:r>
    </w:p>
    <w:p>
      <w:r>
        <w:t xml:space="preserve">☐ Сверить основания корректировки</w:t>
      </w:r>
    </w:p>
    <w:p>
      <w:r>
        <w:t xml:space="preserve">Результат этапа. Проверенный проект акта.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Разрешение оформления</w:t>
      </w:r>
    </w:p>
    <w:p>
      <w:r>
        <w:t xml:space="preserve">Роли. Уполномоченный руководитель.</w:t>
      </w:r>
    </w:p>
    <w:p>
      <w:r>
        <w:t xml:space="preserve">Решение назначенного участника этапа.</w:t>
      </w:r>
    </w:p>
    <w:p>
      <w:r>
        <w:t xml:space="preserve">☐ Утвердить принятое исполнение</w:t>
      </w:r>
    </w:p>
    <w:p>
      <w:r>
        <w:t xml:space="preserve">☐ Назначить внешнее оформление</w:t>
      </w:r>
    </w:p>
    <w:p>
      <w:r>
        <w:t xml:space="preserve">Результат этапа. Основание действия на площадке.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Предъявлена только часть этапа.</w:t>
      </w:r>
    </w:p>
    <w:p>
      <w:r>
        <w:t xml:space="preserve">Проверить допустимость частичной приёмки по контракту.</w:t>
      </w:r>
    </w:p>
    <w:p>
      <w:r>
        <w:t xml:space="preserve">Ответственный. Ответственный за приёмку.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Электронный акт исправлен.</w:t>
      </w:r>
    </w:p>
    <w:p>
      <w:r>
        <w:t xml:space="preserve">Проверить новую редакцию и необходимость повторных подписей.</w:t>
      </w:r>
    </w:p>
    <w:p>
      <w:r>
        <w:t xml:space="preserve">Ответственный. Договорной менеджер.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Приёмки с полным подтверждением. Принятые этапы с доказательствами и действующей редакцией документов / все принятые этапы.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АА.Докс не оформляет акт на государственном портале. Российские и казахстанские внешние процедуры не взаимозаменяемы.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B2B-Center. B2B Digital Supply Solution. Проверено 2026-09-14.</w:t>
      </w:r>
    </w:p>
    <w:p>
      <w:r>
        <w:t xml:space="preserve">https://www.b2b-center.ru/s2p/</w:t>
      </w:r>
    </w:p>
    <w:p>
      <w:r>
        <w:t xml:space="preserve">Потребности, поставщики, договоры, приёмка и расчёты. Заявленные поставщиком проценты экономии не переносятся на АА.Докс.</w:t>
      </w:r>
    </w:p>
    <w:p>
      <w:r>
        <w:t xml:space="preserve">Портал госзакупок РК. Заполнение и подписание электронного акта. Проверено 2026-09-14.</w:t>
      </w:r>
    </w:p>
    <w:p>
      <w:r>
        <w:t xml:space="preserve">https://wiki.goszakup.gov.kz/pages/viewpage.action?pageId=1323616</w:t>
      </w:r>
    </w:p>
    <w:p>
      <w:r>
        <w:t xml:space="preserve">Электронный акт, участники, исправление и повторное подписание. Описание портального процесса, а не полный актуальный юридический регламент всех закупок.</w:t>
      </w:r>
    </w:p>
    <w:p>
      <w:r>
        <w:t xml:space="preserve">Страница маршрута</w:t>
      </w:r>
    </w:p>
    <w:p>
      <w:r>
        <w:t xml:space="preserve">https://aadocs.ru/otrasli/public-procurement/procurement-acceptance</w:t>
      </w:r>
    </w:p>
    <w:p>
      <w:r>
        <w:t xml:space="preserve">Запуск с назначением участников</w:t>
      </w:r>
    </w:p>
    <w:p>
      <w:r>
        <w:t xml:space="preserve">https://app.aadocs.ru/processes/catalog/public-procurement/procurement-acceptance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