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Подготовка и внутреннее согласование закупки</w:t>
      </w:r>
    </w:p>
    <w:p>
      <w:pPr>
        <w:pStyle w:val="Subtitle"/>
      </w:pPr>
      <w:r>
        <w:t xml:space="preserve">Регламентированные и публичные закупки</w:t>
      </w:r>
    </w:p>
    <w:p>
      <w:r>
        <w:t xml:space="preserve">Рабочий шаблон согласования АА.Докс. Редакция каталога 2026-09-16.</w:t>
      </w:r>
    </w:p>
    <w:p>
      <w:r>
        <w:t xml:space="preserve">Авторская модель для настройки в организации. Поля с подчёркиванием заполняются владельцем процесса. Примеры синтетические, готовые цены и юридические условия не установлены.</w:t>
      </w:r>
    </w:p>
    <w:p>
      <w:pPr>
        <w:pStyle w:val="Heading1"/>
      </w:pPr>
      <w:r>
        <w:t xml:space="preserve">Паспорт решения</w:t>
      </w:r>
    </w:p>
    <w:p>
      <w:r>
        <w:t xml:space="preserve">Подтверждена потребность для подготовки закупочной процедуры.</w:t>
      </w:r>
    </w:p>
    <w:p>
      <w:r>
        <w:t xml:space="preserve">Одобрен документный комплект для действий по применимой процедуре.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Параметр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Организация и страна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Дело, договор или заказ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Версия основного документа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Владелец процесса</w:t>
            </w:r>
          </w:p>
        </w:tc>
        <w:tc>
          <w:tcPr>
            <w:tcW w:w="2400" w:type="dxa"/>
          </w:tcPr>
          <w:p>
            <w:r>
              <w:t xml:space="preserve">Руководитель закупок. Назначенный сотрудник ________________</w:t>
            </w:r>
          </w:p>
        </w:tc>
      </w:tr>
      <w:tr>
        <w:tc>
          <w:tcPr>
            <w:tcW w:w="2400" w:type="dxa"/>
          </w:tcPr>
          <w:p>
            <w:r>
              <w:t xml:space="preserve">Дата и предел действия решения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Исходные данные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Поле</w:t>
            </w:r>
          </w:p>
        </w:tc>
        <w:tc>
          <w:tcPr>
            <w:tcW w:w="2400" w:type="dxa"/>
          </w:tcPr>
          <w:p>
            <w:r>
              <w:t xml:space="preserve">Подсказка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Режим</w:t>
            </w:r>
          </w:p>
        </w:tc>
        <w:tc>
          <w:tcPr>
            <w:tcW w:w="2400" w:type="dxa"/>
          </w:tcPr>
          <w:p>
            <w:r>
              <w:t xml:space="preserve">Проверенный порядок закупки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Результат</w:t>
            </w:r>
          </w:p>
        </w:tc>
        <w:tc>
          <w:tcPr>
            <w:tcW w:w="2400" w:type="dxa"/>
          </w:tcPr>
          <w:p>
            <w:r>
              <w:t xml:space="preserve">Измеримые критерии исполнения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Бюджет</w:t>
            </w:r>
          </w:p>
        </w:tc>
        <w:tc>
          <w:tcPr>
            <w:tcW w:w="2400" w:type="dxa"/>
          </w:tcPr>
          <w:p>
            <w:r>
              <w:t xml:space="preserve">Источник и лимит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Документный комплект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Документ</w:t>
            </w:r>
          </w:p>
        </w:tc>
        <w:tc>
          <w:tcPr>
            <w:tcW w:w="2400" w:type="dxa"/>
          </w:tcPr>
          <w:p>
            <w:r>
              <w:t xml:space="preserve">Назначение</w:t>
            </w:r>
          </w:p>
        </w:tc>
        <w:tc>
          <w:tcPr>
            <w:tcW w:w="2400" w:type="dxa"/>
          </w:tcPr>
          <w:p>
            <w:r>
              <w:t xml:space="preserve">Файл и версия</w:t>
            </w:r>
          </w:p>
        </w:tc>
      </w:tr>
      <w:tr>
        <w:tc>
          <w:tcPr>
            <w:tcW w:w="2400" w:type="dxa"/>
          </w:tcPr>
          <w:p>
            <w:r>
              <w:t xml:space="preserve">Потребность и ТЗ</w:t>
            </w:r>
          </w:p>
        </w:tc>
        <w:tc>
          <w:tcPr>
            <w:tcW w:w="2400" w:type="dxa"/>
          </w:tcPr>
          <w:p>
            <w:r>
              <w:t xml:space="preserve">Определяют предмет и результат.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Обоснование цены</w:t>
            </w:r>
          </w:p>
        </w:tc>
        <w:tc>
          <w:tcPr>
            <w:tcW w:w="2400" w:type="dxa"/>
          </w:tcPr>
          <w:p>
            <w:r>
              <w:t xml:space="preserve">Сохраняет метод и источники.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Проект документации</w:t>
            </w:r>
          </w:p>
        </w:tc>
        <w:tc>
          <w:tcPr>
            <w:tcW w:w="2400" w:type="dxa"/>
          </w:tcPr>
          <w:p>
            <w:r>
              <w:t xml:space="preserve">Задаёт условия и договор.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Маршрут и контрольные вопросы</w:t>
      </w:r>
    </w:p>
    <w:p>
      <w:pPr>
        <w:pStyle w:val="Heading2"/>
      </w:pPr>
      <w:r>
        <w:t xml:space="preserve">1. Предмет закупки</w:t>
      </w:r>
    </w:p>
    <w:p>
      <w:r>
        <w:t xml:space="preserve">Роли. Внутренний заказчик.</w:t>
      </w:r>
    </w:p>
    <w:p>
      <w:r>
        <w:t xml:space="preserve">Решение назначенного участника этапа.</w:t>
      </w:r>
    </w:p>
    <w:p>
      <w:r>
        <w:t xml:space="preserve">☐ Проверить потребность</w:t>
      </w:r>
    </w:p>
    <w:p>
      <w:r>
        <w:t xml:space="preserve">☐ Уточнить критерии приёмки</w:t>
      </w:r>
    </w:p>
    <w:p>
      <w:r>
        <w:t xml:space="preserve">Результат этапа. Техническое задание.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2. Процедурная подготовка</w:t>
      </w:r>
    </w:p>
    <w:p>
      <w:r>
        <w:t xml:space="preserve">Роли. Закупщик.</w:t>
      </w:r>
    </w:p>
    <w:p>
      <w:r>
        <w:t xml:space="preserve">Решение назначенного участника этапа.</w:t>
      </w:r>
    </w:p>
    <w:p>
      <w:r>
        <w:t xml:space="preserve">☐ Определить применимый порядок</w:t>
      </w:r>
    </w:p>
    <w:p>
      <w:r>
        <w:t xml:space="preserve">☐ Проверить состав документов</w:t>
      </w:r>
    </w:p>
    <w:p>
      <w:r>
        <w:t xml:space="preserve">Результат этапа. Комплект процедуры.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3. Цена и бюджет</w:t>
      </w:r>
    </w:p>
    <w:p>
      <w:r>
        <w:t xml:space="preserve">Роли. Финансовый контролер.</w:t>
      </w:r>
    </w:p>
    <w:p>
      <w:r>
        <w:t xml:space="preserve">Решение назначенного участника этапа.</w:t>
      </w:r>
    </w:p>
    <w:p>
      <w:r>
        <w:t xml:space="preserve">☐ Проверить основания расчёта</w:t>
      </w:r>
    </w:p>
    <w:p>
      <w:r>
        <w:t xml:space="preserve">☐ Подтвердить финансирование</w:t>
      </w:r>
    </w:p>
    <w:p>
      <w:r>
        <w:t xml:space="preserve">Результат этапа. Финансовое заключение.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4. Разрешение подготовки к публикации</w:t>
      </w:r>
    </w:p>
    <w:p>
      <w:r>
        <w:t xml:space="preserve">Роли. Юрист, Уполномоченный руководитель.</w:t>
      </w:r>
    </w:p>
    <w:p>
      <w:r>
        <w:t xml:space="preserve">Нужны решения всех назначенных участников этапа.</w:t>
      </w:r>
    </w:p>
    <w:p>
      <w:r>
        <w:t xml:space="preserve">☐ Сверить условия</w:t>
      </w:r>
    </w:p>
    <w:p>
      <w:r>
        <w:t xml:space="preserve">☐ Утвердить внутреннюю редакцию</w:t>
      </w:r>
    </w:p>
    <w:p>
      <w:r>
        <w:t xml:space="preserve">Результат этапа. Готовый закупочный комплект.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1"/>
      </w:pPr>
      <w:r>
        <w:t xml:space="preserve">Исключения и повторное рассмотрение</w:t>
      </w:r>
    </w:p>
    <w:p>
      <w:r>
        <w:t xml:space="preserve">Условия ниже проверяют сотрудники. В запуске АА.Докс не включено автоматическое условное ветвление.</w:t>
      </w:r>
    </w:p>
    <w:p>
      <w:pPr>
        <w:pStyle w:val="Heading2"/>
      </w:pPr>
      <w:r>
        <w:t xml:space="preserve">Предмет изменился после проверки цены.</w:t>
      </w:r>
    </w:p>
    <w:p>
      <w:r>
        <w:t xml:space="preserve">Обновить обоснование и затронутые документы.</w:t>
      </w:r>
    </w:p>
    <w:p>
      <w:r>
        <w:t xml:space="preserve">Ответственный. Закупщик.</w:t>
      </w:r>
    </w:p>
    <w:p>
      <w:r>
        <w:t xml:space="preserve">Принятое действие и новая версия ________________.</w:t>
      </w:r>
    </w:p>
    <w:p>
      <w:pPr>
        <w:pStyle w:val="Heading2"/>
      </w:pPr>
      <w:r>
        <w:t xml:space="preserve">Не определён применимый порядок.</w:t>
      </w:r>
    </w:p>
    <w:p>
      <w:r>
        <w:t xml:space="preserve">Передать юристу до внешнего действия.</w:t>
      </w:r>
    </w:p>
    <w:p>
      <w:r>
        <w:t xml:space="preserve">Ответственный. Руководитель закупок.</w:t>
      </w:r>
    </w:p>
    <w:p>
      <w:r>
        <w:t xml:space="preserve">Принятое действие и новая версия ________________.</w:t>
      </w:r>
    </w:p>
    <w:p>
      <w:pPr>
        <w:pStyle w:val="Heading1"/>
      </w:pPr>
      <w:r>
        <w:t xml:space="preserve">Журнал изменений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Версия и дата</w:t>
            </w:r>
          </w:p>
        </w:tc>
        <w:tc>
          <w:tcPr>
            <w:tcW w:w="2400" w:type="dxa"/>
          </w:tcPr>
          <w:p>
            <w:r>
              <w:t xml:space="preserve">Что изменено</w:t>
            </w:r>
          </w:p>
        </w:tc>
        <w:tc>
          <w:tcPr>
            <w:tcW w:w="2400" w:type="dxa"/>
          </w:tcPr>
          <w:p>
            <w:r>
              <w:t xml:space="preserve">Повторное решение</w:t>
            </w:r>
          </w:p>
        </w:tc>
      </w:tr>
      <w:tr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Итог решения и внешние подтверждения</w:t>
      </w:r>
    </w:p>
    <w:p>
      <w:r>
        <w:t xml:space="preserve">Согласованная версия ________________. Принятая часть ________________. Открытые вопросы ________________.</w:t>
      </w:r>
    </w:p>
    <w:p>
      <w:r>
        <w:t xml:space="preserve">Подтверждение контрагента, если требуется ________________. Исполнение решения и подтверждающий документ ________________.</w:t>
      </w:r>
    </w:p>
    <w:p>
      <w:r>
        <w:t xml:space="preserve">Внешнюю роль в АА.Докс назначают сотруднику, который собирает подтверждение внешней стороны. Внутреннее согласование не заменяет её решение.</w:t>
      </w:r>
    </w:p>
    <w:p>
      <w:pPr>
        <w:pStyle w:val="Heading1"/>
      </w:pPr>
      <w:r>
        <w:t xml:space="preserve">Метрики</w:t>
      </w:r>
    </w:p>
    <w:p>
      <w:r>
        <w:t xml:space="preserve">Возвраты документации до публикации. Комплекты с возвратом по ТЗ, цене или порядку / все внутренние согласования.</w:t>
      </w:r>
    </w:p>
    <w:p>
      <w:r>
        <w:t xml:space="preserve">Доля возвратов. Число завершённых согласований с хотя бы одним возвратом / число завершённых согласований за период. Повторные возвраты одного дела не увеличивают числитель.</w:t>
      </w:r>
    </w:p>
    <w:p>
      <w:pPr>
        <w:pStyle w:val="Heading1"/>
      </w:pPr>
      <w:r>
        <w:t xml:space="preserve">Границы применения</w:t>
      </w:r>
    </w:p>
    <w:p>
      <w:r>
        <w:t xml:space="preserve">Не публикует закупку и не выбирает процедуру вместо ответственного специалиста.</w:t>
      </w:r>
    </w:p>
    <w:p>
      <w:r>
        <w:t xml:space="preserve">Согласование документа не подтверждает автоматически подпись сторон, оплату, физическое исполнение или разрешение. Лимиты и сроки определяет организация.</w:t>
      </w:r>
    </w:p>
    <w:p>
      <w:pPr>
        <w:pStyle w:val="Heading1"/>
      </w:pPr>
      <w:r>
        <w:t xml:space="preserve">Источники и актуальная версия</w:t>
      </w:r>
    </w:p>
    <w:p>
      <w:r>
        <w:t xml:space="preserve">B2B-Center. Согласование закупочных процедур. Проверено 2026-09-14.</w:t>
      </w:r>
    </w:p>
    <w:p>
      <w:r>
        <w:t xml:space="preserve">https://www.b2b-center.ru/news/?id=542</w:t>
      </w:r>
    </w:p>
    <w:p>
      <w:r>
        <w:t xml:space="preserve">Маршруты, история, доработка и согласование итогов. Официальное описание функций. Доли рынка и готовая интеграция с АА.Докс не установлены.</w:t>
      </w:r>
    </w:p>
    <w:p>
      <w:r>
        <w:t xml:space="preserve">B2B-Center. B2B Digital Supply Solution. Проверено 2026-09-14.</w:t>
      </w:r>
    </w:p>
    <w:p>
      <w:r>
        <w:t xml:space="preserve">https://www.b2b-center.ru/s2p/</w:t>
      </w:r>
    </w:p>
    <w:p>
      <w:r>
        <w:t xml:space="preserve">Потребности, поставщики, договоры, приёмка и расчёты. Заявленные поставщиком проценты экономии не переносятся на АА.Докс.</w:t>
      </w:r>
    </w:p>
    <w:p>
      <w:r>
        <w:t xml:space="preserve">Страница маршрута</w:t>
      </w:r>
    </w:p>
    <w:p>
      <w:r>
        <w:t xml:space="preserve">https://aadocs.ru/otrasli/public-procurement/procurement-package</w:t>
      </w:r>
    </w:p>
    <w:p>
      <w:r>
        <w:t xml:space="preserve">Запуск с назначением участников</w:t>
      </w:r>
    </w:p>
    <w:p>
      <w:r>
        <w:t xml:space="preserve">https://app.aadocs.ru/processes/catalog/public-procurement/procurement-package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  <w:lang w:val="ru-RU"/>
      </w:rPr>
    </w:rPrDefault>
    <w:pPrDefault>
      <w:pPr>
        <w:spacing w:after="120"/>
      </w:pPr>
    </w:pPrDefault>
  </w:docDefaults>
  <w:style w:type="paragraph" w:default="1" w:styleId="Normal">
    <w:name w:val="Normal"/>
  </w:style>
  <w:style w:type="paragraph" w:styleId="Title">
    <w:name w:val="Title"/>
    <w:basedOn w:val="Normal"/>
    <w:pPr>
      <w:keepNext/>
      <w:spacing w:before="240" w:after="120"/>
    </w:pPr>
    <w:rPr>
      <w:b/>
      <w:sz w:val="36"/>
    </w:rPr>
  </w:style>
  <w:style w:type="paragraph" w:styleId="Subtitle">
    <w:name w:val="Subtitle"/>
    <w:basedOn w:val="Normal"/>
    <w:pPr>
      <w:keepNext/>
      <w:spacing w:before="240" w:after="120"/>
    </w:pPr>
    <w:rPr>
      <w:b/>
      <w:sz w:val="26"/>
    </w:rPr>
  </w:style>
  <w:style w:type="paragraph" w:styleId="Heading1">
    <w:name w:val="Heading1"/>
    <w:basedOn w:val="Normal"/>
    <w:pPr>
      <w:keepNext/>
      <w:spacing w:before="240" w:after="120"/>
    </w:pPr>
    <w:rPr>
      <w:b/>
      <w:sz w:val="28"/>
    </w:rPr>
  </w:style>
  <w:style w:type="paragraph" w:styleId="Heading2">
    <w:name w:val="Heading2"/>
    <w:basedOn w:val="Normal"/>
    <w:pPr>
      <w:keepNext/>
      <w:spacing w:before="240" w:after="120"/>
    </w:pPr>
    <w:rPr>
      <w:b/>
      <w:sz w:val="24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/Relationships>
</file>