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Индивидуальная скидка или исправление цены</w:t>
      </w:r>
    </w:p>
    <w:p>
      <w:pPr>
        <w:pStyle w:val="Subtitle"/>
      </w:pPr>
      <w:r>
        <w:t xml:space="preserve">Ритейл и торговые сети</w:t>
      </w:r>
    </w:p>
    <w:p>
      <w:r>
        <w:t xml:space="preserve">Рабочий шаблон согласования АА.Докс. Редакция каталога 2026-09-16.</w:t>
      </w:r>
    </w:p>
    <w:p>
      <w:r>
        <w:t xml:space="preserve">Авторская модель для настройки в организации. Поля с подчёркиванием заполняются владельцем процесса. Примеры синтетические, готовые цены и юридические условия не установлены.</w:t>
      </w:r>
    </w:p>
    <w:p>
      <w:pPr>
        <w:pStyle w:val="Heading1"/>
      </w:pPr>
      <w:r>
        <w:t xml:space="preserve">Паспорт решения</w:t>
      </w:r>
    </w:p>
    <w:p>
      <w:r>
        <w:t xml:space="preserve">Продавцу нужно выйти за установленные полномочия по цене.</w:t>
      </w:r>
    </w:p>
    <w:p>
      <w:r>
        <w:t xml:space="preserve">Разрешена конкретная итоговая цена для одной покупки.</w:t>
      </w:r>
    </w:p>
    <w:tbl>
      <w:tblPr>
        <w:tblW w:w="0" w:type="auto"/>
        <w:tblBorders>
          <w:top w:val="single" w:sz="4" w:color="B8C2CC"/>
          <w:left w:val="single" w:sz="4" w:color="B8C2CC"/>
          <w:bottom w:val="single" w:sz="4" w:color="B8C2CC"/>
          <w:right w:val="single" w:sz="4" w:color="B8C2CC"/>
          <w:insideH w:val="single" w:sz="4" w:color="B8C2CC"/>
          <w:insideV w:val="single" w:sz="4" w:color="B8C2CC"/>
        </w:tblBorders>
      </w:tblPr>
      <w:tblGrid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r>
              <w:t xml:space="preserve">Параметр</w:t>
            </w:r>
          </w:p>
        </w:tc>
        <w:tc>
          <w:tcPr>
            <w:tcW w:w="2400" w:type="dxa"/>
          </w:tcPr>
          <w:p>
            <w:r>
              <w:t xml:space="preserve">Значение</w:t>
            </w:r>
          </w:p>
        </w:tc>
      </w:tr>
      <w:tr>
        <w:tc>
          <w:tcPr>
            <w:tcW w:w="2400" w:type="dxa"/>
          </w:tcPr>
          <w:p>
            <w:r>
              <w:t xml:space="preserve">Организация и страна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Дело, договор или заказ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Версия основного документа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Владелец процесса</w:t>
            </w:r>
          </w:p>
        </w:tc>
        <w:tc>
          <w:tcPr>
            <w:tcW w:w="2400" w:type="dxa"/>
          </w:tcPr>
          <w:p>
            <w:r>
              <w:t xml:space="preserve">Управляющий магазином. Назначенный сотрудник ________________</w:t>
            </w:r>
          </w:p>
        </w:tc>
      </w:tr>
      <w:tr>
        <w:tc>
          <w:tcPr>
            <w:tcW w:w="2400" w:type="dxa"/>
          </w:tcPr>
          <w:p>
            <w:r>
              <w:t xml:space="preserve">Дата и предел действия решения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</w:tbl>
    <w:p>
      <w:pPr>
        <w:pStyle w:val="Heading1"/>
      </w:pPr>
      <w:r>
        <w:t xml:space="preserve">Исходные данные</w:t>
      </w:r>
    </w:p>
    <w:tbl>
      <w:tblPr>
        <w:tblW w:w="0" w:type="auto"/>
        <w:tblBorders>
          <w:top w:val="single" w:sz="4" w:color="B8C2CC"/>
          <w:left w:val="single" w:sz="4" w:color="B8C2CC"/>
          <w:bottom w:val="single" w:sz="4" w:color="B8C2CC"/>
          <w:right w:val="single" w:sz="4" w:color="B8C2CC"/>
          <w:insideH w:val="single" w:sz="4" w:color="B8C2CC"/>
          <w:insideV w:val="single" w:sz="4" w:color="B8C2CC"/>
        </w:tblBorders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r>
              <w:t xml:space="preserve">Поле</w:t>
            </w:r>
          </w:p>
        </w:tc>
        <w:tc>
          <w:tcPr>
            <w:tcW w:w="2400" w:type="dxa"/>
          </w:tcPr>
          <w:p>
            <w:r>
              <w:t xml:space="preserve">Подсказка</w:t>
            </w:r>
          </w:p>
        </w:tc>
        <w:tc>
          <w:tcPr>
            <w:tcW w:w="2400" w:type="dxa"/>
          </w:tcPr>
          <w:p>
            <w:r>
              <w:t xml:space="preserve">Значение</w:t>
            </w:r>
          </w:p>
        </w:tc>
      </w:tr>
      <w:tr>
        <w:tc>
          <w:tcPr>
            <w:tcW w:w="2400" w:type="dxa"/>
          </w:tcPr>
          <w:p>
            <w:r>
              <w:t xml:space="preserve">Покупка</w:t>
            </w:r>
          </w:p>
        </w:tc>
        <w:tc>
          <w:tcPr>
            <w:tcW w:w="2400" w:type="dxa"/>
          </w:tcPr>
          <w:p>
            <w:r>
              <w:t xml:space="preserve">Номер заказа или отложенной продажи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Причина</w:t>
            </w:r>
          </w:p>
        </w:tc>
        <w:tc>
          <w:tcPr>
            <w:tcW w:w="2400" w:type="dxa"/>
          </w:tcPr>
          <w:p>
            <w:r>
              <w:t xml:space="preserve">Расхождение ценника и прайса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Ограничение</w:t>
            </w:r>
          </w:p>
        </w:tc>
        <w:tc>
          <w:tcPr>
            <w:tcW w:w="2400" w:type="dxa"/>
          </w:tcPr>
          <w:p>
            <w:r>
              <w:t xml:space="preserve">Одна покупка и срок решения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</w:tbl>
    <w:p>
      <w:pPr>
        <w:pStyle w:val="Heading1"/>
      </w:pPr>
      <w:r>
        <w:t xml:space="preserve">Документный комплект</w:t>
      </w:r>
    </w:p>
    <w:tbl>
      <w:tblPr>
        <w:tblW w:w="0" w:type="auto"/>
        <w:tblBorders>
          <w:top w:val="single" w:sz="4" w:color="B8C2CC"/>
          <w:left w:val="single" w:sz="4" w:color="B8C2CC"/>
          <w:bottom w:val="single" w:sz="4" w:color="B8C2CC"/>
          <w:right w:val="single" w:sz="4" w:color="B8C2CC"/>
          <w:insideH w:val="single" w:sz="4" w:color="B8C2CC"/>
          <w:insideV w:val="single" w:sz="4" w:color="B8C2CC"/>
        </w:tblBorders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r>
              <w:t xml:space="preserve">Документ</w:t>
            </w:r>
          </w:p>
        </w:tc>
        <w:tc>
          <w:tcPr>
            <w:tcW w:w="2400" w:type="dxa"/>
          </w:tcPr>
          <w:p>
            <w:r>
              <w:t xml:space="preserve">Назначение</w:t>
            </w:r>
          </w:p>
        </w:tc>
        <w:tc>
          <w:tcPr>
            <w:tcW w:w="2400" w:type="dxa"/>
          </w:tcPr>
          <w:p>
            <w:r>
              <w:t xml:space="preserve">Файл и версия</w:t>
            </w:r>
          </w:p>
        </w:tc>
      </w:tr>
      <w:tr>
        <w:tc>
          <w:tcPr>
            <w:tcW w:w="2400" w:type="dxa"/>
          </w:tcPr>
          <w:p>
            <w:r>
              <w:t xml:space="preserve">Корзина</w:t>
            </w:r>
          </w:p>
        </w:tc>
        <w:tc>
          <w:tcPr>
            <w:tcW w:w="2400" w:type="dxa"/>
          </w:tcPr>
          <w:p>
            <w:r>
              <w:t xml:space="preserve">Фиксирует товары и исходную сумму.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Основание исключения</w:t>
            </w:r>
          </w:p>
        </w:tc>
        <w:tc>
          <w:tcPr>
            <w:tcW w:w="2400" w:type="dxa"/>
          </w:tcPr>
          <w:p>
            <w:r>
              <w:t xml:space="preserve">Ценник, предложение или обращение покупателя.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Расчёт скидки</w:t>
            </w:r>
          </w:p>
        </w:tc>
        <w:tc>
          <w:tcPr>
            <w:tcW w:w="2400" w:type="dxa"/>
          </w:tcPr>
          <w:p>
            <w:r>
              <w:t xml:space="preserve">Показывает итоговую цену и совместимость бонусов.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</w:tbl>
    <w:p>
      <w:pPr>
        <w:pStyle w:val="Heading1"/>
      </w:pPr>
      <w:r>
        <w:t xml:space="preserve">Маршрут и контрольные вопросы</w:t>
      </w:r>
    </w:p>
    <w:p>
      <w:pPr>
        <w:pStyle w:val="Heading2"/>
      </w:pPr>
      <w:r>
        <w:t xml:space="preserve">1. Исходная покупка</w:t>
      </w:r>
    </w:p>
    <w:p>
      <w:r>
        <w:t xml:space="preserve">Роли. Кассир.</w:t>
      </w:r>
    </w:p>
    <w:p>
      <w:r>
        <w:t xml:space="preserve">Решение назначенного участника этапа.</w:t>
      </w:r>
    </w:p>
    <w:p>
      <w:r>
        <w:t xml:space="preserve">☐ Зафиксировать корзину</w:t>
      </w:r>
    </w:p>
    <w:p>
      <w:r>
        <w:t xml:space="preserve">☐ Приложить основание</w:t>
      </w:r>
    </w:p>
    <w:p>
      <w:r>
        <w:t xml:space="preserve">Результат этапа. Карточка исключения.</w:t>
      </w:r>
    </w:p>
    <w:p>
      <w:r>
        <w:t xml:space="preserve">Назначенные сотрудники ________________. Срок по правилам организации ________________.</w:t>
      </w:r>
    </w:p>
    <w:p>
      <w:r>
        <w:t xml:space="preserve">Решение и комментарий ________________. Дата ________________. Подтверждающий файл ________________.</w:t>
      </w:r>
    </w:p>
    <w:p>
      <w:pPr>
        <w:pStyle w:val="Heading2"/>
      </w:pPr>
      <w:r>
        <w:t xml:space="preserve">2. Обоснованность</w:t>
      </w:r>
    </w:p>
    <w:p>
      <w:r>
        <w:t xml:space="preserve">Роли. Управляющий магазином.</w:t>
      </w:r>
    </w:p>
    <w:p>
      <w:r>
        <w:t xml:space="preserve">Решение назначенного участника этапа.</w:t>
      </w:r>
    </w:p>
    <w:p>
      <w:r>
        <w:t xml:space="preserve">☐ Исключить повторную компенсацию</w:t>
      </w:r>
    </w:p>
    <w:p>
      <w:r>
        <w:t xml:space="preserve">☐ Проверить фактическую ситуацию</w:t>
      </w:r>
    </w:p>
    <w:p>
      <w:r>
        <w:t xml:space="preserve">Результат этапа. Заключение управляющего.</w:t>
      </w:r>
    </w:p>
    <w:p>
      <w:r>
        <w:t xml:space="preserve">Назначенные сотрудники ________________. Срок по правилам организации ________________.</w:t>
      </w:r>
    </w:p>
    <w:p>
      <w:r>
        <w:t xml:space="preserve">Решение и комментарий ________________. Дата ________________. Подтверждающий файл ________________.</w:t>
      </w:r>
    </w:p>
    <w:p>
      <w:pPr>
        <w:pStyle w:val="Heading2"/>
      </w:pPr>
      <w:r>
        <w:t xml:space="preserve">3. Применимая цена</w:t>
      </w:r>
    </w:p>
    <w:p>
      <w:r>
        <w:t xml:space="preserve">Роли. Специалист по ценам.</w:t>
      </w:r>
    </w:p>
    <w:p>
      <w:r>
        <w:t xml:space="preserve">Решение назначенного участника этапа.</w:t>
      </w:r>
    </w:p>
    <w:p>
      <w:r>
        <w:t xml:space="preserve">☐ Сверить действующий прайс</w:t>
      </w:r>
    </w:p>
    <w:p>
      <w:r>
        <w:t xml:space="preserve">☐ Рассчитать итог после бонусов</w:t>
      </w:r>
    </w:p>
    <w:p>
      <w:r>
        <w:t xml:space="preserve">Результат этапа. Подтверждённая сумма.</w:t>
      </w:r>
    </w:p>
    <w:p>
      <w:r>
        <w:t xml:space="preserve">Назначенные сотрудники ________________. Срок по правилам организации ________________.</w:t>
      </w:r>
    </w:p>
    <w:p>
      <w:r>
        <w:t xml:space="preserve">Решение и комментарий ________________. Дата ________________. Подтверждающий файл ________________.</w:t>
      </w:r>
    </w:p>
    <w:p>
      <w:pPr>
        <w:pStyle w:val="Heading2"/>
      </w:pPr>
      <w:r>
        <w:t xml:space="preserve">4. Разрешение скидки</w:t>
      </w:r>
    </w:p>
    <w:p>
      <w:r>
        <w:t xml:space="preserve">Роли. Уполномоченный руководитель.</w:t>
      </w:r>
    </w:p>
    <w:p>
      <w:r>
        <w:t xml:space="preserve">Решение назначенного участника этапа.</w:t>
      </w:r>
    </w:p>
    <w:p>
      <w:r>
        <w:t xml:space="preserve">☐ Проверить предел полномочий</w:t>
      </w:r>
    </w:p>
    <w:p>
      <w:r>
        <w:t xml:space="preserve">☐ Ограничить решение покупкой</w:t>
      </w:r>
    </w:p>
    <w:p>
      <w:r>
        <w:t xml:space="preserve">Результат этапа. Разрешение для кассира.</w:t>
      </w:r>
    </w:p>
    <w:p>
      <w:r>
        <w:t xml:space="preserve">Назначенные сотрудники ________________. Срок по правилам организации ________________.</w:t>
      </w:r>
    </w:p>
    <w:p>
      <w:r>
        <w:t xml:space="preserve">Решение и комментарий ________________. Дата ________________. Подтверждающий файл ________________.</w:t>
      </w:r>
    </w:p>
    <w:p>
      <w:pPr>
        <w:pStyle w:val="Heading1"/>
      </w:pPr>
      <w:r>
        <w:t xml:space="preserve">Исключения и повторное рассмотрение</w:t>
      </w:r>
    </w:p>
    <w:p>
      <w:r>
        <w:t xml:space="preserve">Условия ниже проверяют сотрудники. В запуске АА.Докс не включено автоматическое условное ветвление.</w:t>
      </w:r>
    </w:p>
    <w:p>
      <w:pPr>
        <w:pStyle w:val="Heading2"/>
      </w:pPr>
      <w:r>
        <w:t xml:space="preserve">Состав корзины изменился.</w:t>
      </w:r>
    </w:p>
    <w:p>
      <w:r>
        <w:t xml:space="preserve">Пересчитать скидку и получить новое решение.</w:t>
      </w:r>
    </w:p>
    <w:p>
      <w:r>
        <w:t xml:space="preserve">Ответственный. Кассир.</w:t>
      </w:r>
    </w:p>
    <w:p>
      <w:r>
        <w:t xml:space="preserve">Принятое действие и новая версия ________________.</w:t>
      </w:r>
    </w:p>
    <w:p>
      <w:pPr>
        <w:pStyle w:val="Heading2"/>
      </w:pPr>
      <w:r>
        <w:t xml:space="preserve">Есть предыдущий возврат по покупке.</w:t>
      </w:r>
    </w:p>
    <w:p>
      <w:r>
        <w:t xml:space="preserve">Сверить остаток стоимости до компенсации.</w:t>
      </w:r>
    </w:p>
    <w:p>
      <w:r>
        <w:t xml:space="preserve">Ответственный. Управляющий магазином.</w:t>
      </w:r>
    </w:p>
    <w:p>
      <w:r>
        <w:t xml:space="preserve">Принятое действие и новая версия ________________.</w:t>
      </w:r>
    </w:p>
    <w:p>
      <w:pPr>
        <w:pStyle w:val="Heading1"/>
      </w:pPr>
      <w:r>
        <w:t xml:space="preserve">Журнал изменений</w:t>
      </w:r>
    </w:p>
    <w:tbl>
      <w:tblPr>
        <w:tblW w:w="0" w:type="auto"/>
        <w:tblBorders>
          <w:top w:val="single" w:sz="4" w:color="B8C2CC"/>
          <w:left w:val="single" w:sz="4" w:color="B8C2CC"/>
          <w:bottom w:val="single" w:sz="4" w:color="B8C2CC"/>
          <w:right w:val="single" w:sz="4" w:color="B8C2CC"/>
          <w:insideH w:val="single" w:sz="4" w:color="B8C2CC"/>
          <w:insideV w:val="single" w:sz="4" w:color="B8C2CC"/>
        </w:tblBorders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r>
              <w:t xml:space="preserve">Версия и дата</w:t>
            </w:r>
          </w:p>
        </w:tc>
        <w:tc>
          <w:tcPr>
            <w:tcW w:w="2400" w:type="dxa"/>
          </w:tcPr>
          <w:p>
            <w:r>
              <w:t xml:space="preserve">Что изменено</w:t>
            </w:r>
          </w:p>
        </w:tc>
        <w:tc>
          <w:tcPr>
            <w:tcW w:w="2400" w:type="dxa"/>
          </w:tcPr>
          <w:p>
            <w:r>
              <w:t xml:space="preserve">Повторное решение</w:t>
            </w:r>
          </w:p>
        </w:tc>
      </w:tr>
      <w:tr>
        <w:tc>
          <w:tcPr>
            <w:tcW w:w="2400" w:type="dxa"/>
          </w:tcPr>
          <w:p>
            <w:r>
              <w:t xml:space="preserve">________________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</w:tbl>
    <w:p>
      <w:pPr>
        <w:pStyle w:val="Heading1"/>
      </w:pPr>
      <w:r>
        <w:t xml:space="preserve">Итог решения и внешние подтверждения</w:t>
      </w:r>
    </w:p>
    <w:p>
      <w:r>
        <w:t xml:space="preserve">Согласованная версия ________________. Принятая часть ________________. Открытые вопросы ________________.</w:t>
      </w:r>
    </w:p>
    <w:p>
      <w:r>
        <w:t xml:space="preserve">Подтверждение контрагента, если требуется ________________. Исполнение решения и подтверждающий документ ________________.</w:t>
      </w:r>
    </w:p>
    <w:p>
      <w:r>
        <w:t xml:space="preserve">Внешнюю роль в АА.Докс назначают сотруднику, который собирает подтверждение внешней стороны. Внутреннее согласование не заменяет её решение.</w:t>
      </w:r>
    </w:p>
    <w:p>
      <w:pPr>
        <w:pStyle w:val="Heading1"/>
      </w:pPr>
      <w:r>
        <w:t xml:space="preserve">Метрики</w:t>
      </w:r>
    </w:p>
    <w:p>
      <w:r>
        <w:t xml:space="preserve">Время обработки исключения. Медиана минут от полного обращения до решения. Норматив задаёт магазин.</w:t>
      </w:r>
    </w:p>
    <w:p>
      <w:r>
        <w:t xml:space="preserve">Доля возвратов. Число завершённых согласований с хотя бы одним возвратом / число завершённых согласований за период. Повторные возвраты одного дела не увеличивают числитель.</w:t>
      </w:r>
    </w:p>
    <w:p>
      <w:pPr>
        <w:pStyle w:val="Heading1"/>
      </w:pPr>
      <w:r>
        <w:t xml:space="preserve">Границы применения</w:t>
      </w:r>
    </w:p>
    <w:p>
      <w:r>
        <w:t xml:space="preserve">Не заменяет штатное разрешение POS. Для кассовой очереди целесообразно настроить пределы полномочий в самой POS.</w:t>
      </w:r>
    </w:p>
    <w:p>
      <w:r>
        <w:t xml:space="preserve">Согласование документа не подтверждает автоматически подпись сторон, оплату, физическое исполнение или разрешение. Лимиты и сроки определяет организация.</w:t>
      </w:r>
    </w:p>
    <w:p>
      <w:pPr>
        <w:pStyle w:val="Heading1"/>
      </w:pPr>
      <w:r>
        <w:t xml:space="preserve">Источники и актуальная версия</w:t>
      </w:r>
    </w:p>
    <w:p>
      <w:r>
        <w:t xml:space="preserve">Saby. Saby Retail. Проверено 2026-09-14.</w:t>
      </w:r>
    </w:p>
    <w:p>
      <w:r>
        <w:t xml:space="preserve">https://saby.ru/retail</w:t>
      </w:r>
    </w:p>
    <w:p>
      <w:r>
        <w:t xml:space="preserve">Кассовые и товарные операции. Официальное описание функций. Доли рынка и готовая интеграция с АА.Докс не установлены.</w:t>
      </w:r>
    </w:p>
    <w:p>
      <w:r>
        <w:t xml:space="preserve">Shopify. POS permissions. Проверено 2026-09-14.</w:t>
      </w:r>
    </w:p>
    <w:p>
      <w:r>
        <w:t xml:space="preserve">https://help.shopify.com/en/manual/your-account/users/roles/permissions/pos-permissions</w:t>
      </w:r>
    </w:p>
    <w:p>
      <w:r>
        <w:t xml:space="preserve">Полномочия на скидки и возвраты. Функции ролей зависят от плана POS Pro. Доступность для конкретной страны не установлена.</w:t>
      </w:r>
    </w:p>
    <w:p>
      <w:r>
        <w:t xml:space="preserve">Страница маршрута</w:t>
      </w:r>
    </w:p>
    <w:p>
      <w:r>
        <w:t xml:space="preserve">https://aadocs.ru/otrasli/retail/exception-discount</w:t>
      </w:r>
    </w:p>
    <w:p>
      <w:r>
        <w:t xml:space="preserve">Запуск с назначением участников</w:t>
      </w:r>
    </w:p>
    <w:p>
      <w:r>
        <w:t xml:space="preserve">https://app.aadocs.ru/processes/catalog/retail/exception-discount</w:t>
      </w:r>
    </w:p>
    <w:sectPr>
      <w:pgSz w:w="11906" w:h="16838"/>
      <w:pgMar w:top="1134" w:right="1134" w:bottom="1134" w:left="1134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  <w:lang w:val="ru-RU"/>
      </w:rPr>
    </w:rPrDefault>
    <w:pPrDefault>
      <w:pPr>
        <w:spacing w:after="120"/>
      </w:pPr>
    </w:pPrDefault>
  </w:docDefaults>
  <w:style w:type="paragraph" w:default="1" w:styleId="Normal">
    <w:name w:val="Normal"/>
  </w:style>
  <w:style w:type="paragraph" w:styleId="Title">
    <w:name w:val="Title"/>
    <w:basedOn w:val="Normal"/>
    <w:pPr>
      <w:keepNext/>
      <w:spacing w:before="240" w:after="120"/>
    </w:pPr>
    <w:rPr>
      <w:b/>
      <w:sz w:val="36"/>
    </w:rPr>
  </w:style>
  <w:style w:type="paragraph" w:styleId="Subtitle">
    <w:name w:val="Subtitle"/>
    <w:basedOn w:val="Normal"/>
    <w:pPr>
      <w:keepNext/>
      <w:spacing w:before="240" w:after="120"/>
    </w:pPr>
    <w:rPr>
      <w:b/>
      <w:sz w:val="26"/>
    </w:rPr>
  </w:style>
  <w:style w:type="paragraph" w:styleId="Heading1">
    <w:name w:val="Heading1"/>
    <w:basedOn w:val="Normal"/>
    <w:pPr>
      <w:keepNext/>
      <w:spacing w:before="240" w:after="120"/>
    </w:pPr>
    <w:rPr>
      <w:b/>
      <w:sz w:val="28"/>
    </w:rPr>
  </w:style>
  <w:style w:type="paragraph" w:styleId="Heading2">
    <w:name w:val="Heading2"/>
    <w:basedOn w:val="Normal"/>
    <w:pPr>
      <w:keepNext/>
      <w:spacing w:before="240" w:after="120"/>
    </w:pPr>
    <w:rPr>
      <w:b/>
      <w:sz w:val="24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/Relationships>
</file>