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Закрытие рейса и проверка документов</w:t>
      </w:r>
    </w:p>
    <w:p>
      <w:pPr>
        <w:pStyle w:val="Subtitle"/>
      </w:pPr>
      <w:r>
        <w:t xml:space="preserve">Автоперевозки и экспедирование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Перевозка завершена и поступили документы для расчётов.</w:t>
      </w:r>
    </w:p>
    <w:p>
      <w:r>
        <w:t xml:space="preserve">Подтверждены доставка, комплект и согласованная сумма с выделением расхождений.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Главный бухгалтер.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Рейс</w:t>
            </w:r>
          </w:p>
        </w:tc>
        <w:tc>
          <w:tcPr>
            <w:tcW w:w="2400" w:type="dxa"/>
          </w:tcPr>
          <w:p>
            <w:r>
              <w:t xml:space="preserve">Единый идентификатор перевозки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Доставка</w:t>
            </w:r>
          </w:p>
        </w:tc>
        <w:tc>
          <w:tcPr>
            <w:tcW w:w="2400" w:type="dxa"/>
          </w:tcPr>
          <w:p>
            <w:r>
              <w:t xml:space="preserve">Дата и подтверждающий документ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Расхождение</w:t>
            </w:r>
          </w:p>
        </w:tc>
        <w:tc>
          <w:tcPr>
            <w:tcW w:w="2400" w:type="dxa"/>
          </w:tcPr>
          <w:p>
            <w:r>
              <w:t xml:space="preserve">Количество, повреждение или сумма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Подтверждение доставки</w:t>
            </w:r>
          </w:p>
        </w:tc>
        <w:tc>
          <w:tcPr>
            <w:tcW w:w="2400" w:type="dxa"/>
          </w:tcPr>
          <w:p>
            <w:r>
              <w:t xml:space="preserve">Связывает получение груза с рейсом.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Первичные документы</w:t>
            </w:r>
          </w:p>
        </w:tc>
        <w:tc>
          <w:tcPr>
            <w:tcW w:w="2400" w:type="dxa"/>
          </w:tcPr>
          <w:p>
            <w:r>
              <w:t xml:space="preserve">Оформляют применимый результат услуги.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Заявка и доплаты</w:t>
            </w:r>
          </w:p>
        </w:tc>
        <w:tc>
          <w:tcPr>
            <w:tcW w:w="2400" w:type="dxa"/>
          </w:tcPr>
          <w:p>
            <w:r>
              <w:t xml:space="preserve">Определяют окончательную согласованную стоимость.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Исполнение перевозки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Сопоставить маршрут и доставку</w:t>
      </w:r>
    </w:p>
    <w:p>
      <w:r>
        <w:t xml:space="preserve">☐ Проверить подтверждение получателя</w:t>
      </w:r>
    </w:p>
    <w:p>
      <w:r>
        <w:t xml:space="preserve">Результат этапа. Подтверждённое исполнение.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Замечания при приёмке</w:t>
      </w:r>
    </w:p>
    <w:p>
      <w:r>
        <w:t xml:space="preserve">Роли. Ответственный за претензии.</w:t>
      </w:r>
    </w:p>
    <w:p>
      <w:r>
        <w:t xml:space="preserve">Решение назначенного участника этапа.</w:t>
      </w:r>
    </w:p>
    <w:p>
      <w:r>
        <w:t xml:space="preserve">☐ Проверить повреждения и недостачу</w:t>
      </w:r>
    </w:p>
    <w:p>
      <w:r>
        <w:t xml:space="preserve">☐ Выделить спорную часть</w:t>
      </w:r>
    </w:p>
    <w:p>
      <w:r>
        <w:t xml:space="preserve">Результат этапа. Решение по замечаниям.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Документы и стоимость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Сверить реквизиты и сумму</w:t>
      </w:r>
    </w:p>
    <w:p>
      <w:r>
        <w:t xml:space="preserve">☐ Учесть только согласованные доплаты</w:t>
      </w:r>
    </w:p>
    <w:p>
      <w:r>
        <w:t xml:space="preserve">Результат этапа. Проверенный расчётный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Готовность расчётов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Проверить условия начала отсрочки</w:t>
      </w:r>
    </w:p>
    <w:p>
      <w:r>
        <w:t xml:space="preserve">☐ Разрешить дальнейшую обработку оплаты</w:t>
      </w:r>
    </w:p>
    <w:p>
      <w:r>
        <w:t xml:space="preserve">Результат этапа. Комплект передан в расчёты.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Нет подтверждения доставки.</w:t>
      </w:r>
    </w:p>
    <w:p>
      <w:r>
        <w:t xml:space="preserve">Вернуть логисту с перечнем недостающих подтверждений.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Заявлена недостача.</w:t>
      </w:r>
    </w:p>
    <w:p>
      <w:r>
        <w:t xml:space="preserve">Открыть претензионное дело и отделить спорную сумму.</w:t>
      </w:r>
    </w:p>
    <w:p>
      <w:r>
        <w:t xml:space="preserve">Ответственный. Ответственный за претензии.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Период закрытия рейса. Медиана дней от доставки до принятия полного расчётного комплекта.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Вид первичного документа и ЭПД зависит от сделки. Уведомление о согласовании не подтверждает банковский платёж.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ATI.SU. API АТИ-Доков. Проверено 2026-09-14.</w:t>
      </w:r>
    </w:p>
    <w:p>
      <w:r>
        <w:t xml:space="preserve">https://ati.su/developers/api/doki/</w:t>
      </w:r>
    </w:p>
    <w:p>
      <w:r>
        <w:t xml:space="preserve">Создание, отправка, подписание, одобрение, ЭТрН, УПД и роуминг. Официальное описание функций. Доли рынка и готовая интеграция с АА.Докс не установлены.</w:t>
      </w:r>
    </w:p>
    <w:p>
      <w:r>
        <w:t xml:space="preserve">CargoWise. CargoWise Forwarding. Проверено 2026-09-14.</w:t>
      </w:r>
    </w:p>
    <w:p>
      <w:r>
        <w:t xml:space="preserve">https://www.cargowise.com/solutions/cargowise-forwarding/</w:t>
      </w:r>
    </w:p>
    <w:p>
      <w:r>
        <w:t xml:space="preserve">Связь предложений, отправок, документов и счетов.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https://aadocs.ru/otrasli/road-logistics/freight-close</w:t>
      </w:r>
    </w:p>
    <w:p>
      <w:r>
        <w:t xml:space="preserve">Запуск с назначением участников</w:t>
      </w:r>
    </w:p>
    <w:p>
      <w:r>
        <w:t xml:space="preserve">https://app.aadocs.ru/processes/catalog/road-logistics/freight-close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