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Расчёты с телеком-партнёром</w:t>
      </w:r>
    </w:p>
    <w:p>
      <w:pPr>
        <w:pStyle w:val="Subtitle"/>
      </w:pPr>
      <w:r>
        <w:t xml:space="preserve">Телеком и корпоративная связь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Поступил расчёт партнёрских услуг или вознаграждения за период.</w:t>
      </w:r>
    </w:p>
    <w:p>
      <w:r>
        <w:t xml:space="preserve">Утверждены принятая сумма и отдельный перечень разногласий.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Финансовый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Период</w:t>
            </w:r>
          </w:p>
        </w:tc>
        <w:tc>
          <w:tcPr>
            <w:tcW w:w="2400" w:type="dxa"/>
          </w:tcPr>
          <w:p>
            <w:r>
              <w:t xml:space="preserve">Месяц или иной договорный интервал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Схема</w:t>
            </w:r>
          </w:p>
        </w:tc>
        <w:tc>
          <w:tcPr>
            <w:tcW w:w="2400" w:type="dxa"/>
          </w:tcPr>
          <w:p>
            <w:r>
              <w:t xml:space="preserve">Тариф и вознаграждение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Спор</w:t>
            </w:r>
          </w:p>
        </w:tc>
        <w:tc>
          <w:tcPr>
            <w:tcW w:w="2400" w:type="dxa"/>
          </w:tcPr>
          <w:p>
            <w:r>
              <w:t xml:space="preserve">Позиции и основания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Договор партнёра</w:t>
            </w:r>
          </w:p>
        </w:tc>
        <w:tc>
          <w:tcPr>
            <w:tcW w:w="2400" w:type="dxa"/>
          </w:tcPr>
          <w:p>
            <w:r>
              <w:t xml:space="preserve">Задаёт схему расчёта.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Данные услуг</w:t>
            </w:r>
          </w:p>
        </w:tc>
        <w:tc>
          <w:tcPr>
            <w:tcW w:w="2400" w:type="dxa"/>
          </w:tcPr>
          <w:p>
            <w:r>
              <w:t xml:space="preserve">Подтверждают события или объём.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периода</w:t>
            </w:r>
          </w:p>
        </w:tc>
        <w:tc>
          <w:tcPr>
            <w:tcW w:w="2400" w:type="dxa"/>
          </w:tcPr>
          <w:p>
            <w:r>
              <w:t xml:space="preserve">Показывает начисления и корректировки.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Расчётный пакет</w:t>
      </w:r>
    </w:p>
    <w:p>
      <w:r>
        <w:t xml:space="preserve">Роли. Менеджер партнёра.</w:t>
      </w:r>
    </w:p>
    <w:p>
      <w:r>
        <w:t xml:space="preserve">Решение назначенного участника этапа.</w:t>
      </w:r>
    </w:p>
    <w:p>
      <w:r>
        <w:t xml:space="preserve">☐ Собрать период</w:t>
      </w:r>
    </w:p>
    <w:p>
      <w:r>
        <w:t xml:space="preserve">☐ Приложить договорную схему</w:t>
      </w:r>
    </w:p>
    <w:p>
      <w:r>
        <w:t xml:space="preserve">Результат этапа. Полный комплект.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Факт услуг</w:t>
      </w:r>
    </w:p>
    <w:p>
      <w:r>
        <w:t xml:space="preserve">Роли. Операционная служба.</w:t>
      </w:r>
    </w:p>
    <w:p>
      <w:r>
        <w:t xml:space="preserve">Решение назначенного участника этапа.</w:t>
      </w:r>
    </w:p>
    <w:p>
      <w:r>
        <w:t xml:space="preserve">☐ Сверить события</w:t>
      </w:r>
    </w:p>
    <w:p>
      <w:r>
        <w:t xml:space="preserve">☐ Подтвердить объём</w:t>
      </w:r>
    </w:p>
    <w:p>
      <w:r>
        <w:t xml:space="preserve">Результат этапа. Операционное основание.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Финансовая сверка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Проверить тарифы</w:t>
      </w:r>
    </w:p>
    <w:p>
      <w:r>
        <w:t xml:space="preserve">☐ Выделить спорные позиции</w:t>
      </w:r>
    </w:p>
    <w:p>
      <w:r>
        <w:t xml:space="preserve">Результат этапа. Сверенный расчёт.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Решение периода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сумму</w:t>
      </w:r>
    </w:p>
    <w:p>
      <w:r>
        <w:t xml:space="preserve">☐ Определить возражения</w:t>
      </w:r>
    </w:p>
    <w:p>
      <w:r>
        <w:t xml:space="preserve">Результат этапа. Комплект для расчётов.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Применена новая схема без оформления.</w:t>
      </w:r>
    </w:p>
    <w:p>
      <w:r>
        <w:t xml:space="preserve">Проверить дату и основание изменения договора.</w:t>
      </w:r>
    </w:p>
    <w:p>
      <w:r>
        <w:t xml:space="preserve">Ответственный. Менеджер партнёра.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События продублированы.</w:t>
      </w:r>
    </w:p>
    <w:p>
      <w:r>
        <w:t xml:space="preserve">Устранить дубль до принятия суммы.</w:t>
      </w:r>
    </w:p>
    <w:p>
      <w:r>
        <w:t xml:space="preserve">Ответственный. Операционная служба.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Доля спорных начислений. Сумма спорных позиций / предъявленная сумма периода.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выполняет взаимозачёт или перечисление денег автоматически.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Nexign. Business Support System. Проверено 2026-09-14.</w:t>
      </w:r>
    </w:p>
    <w:p>
      <w:r>
        <w:t xml:space="preserve">https://nexign.com/ru/products/Business-Support-System</w:t>
      </w:r>
    </w:p>
    <w:p>
      <w:r>
        <w:t xml:space="preserve">Тарификация и модели расчётов. Официальное описание функций. Доли рынка и готовая интеграция с АА.Докс не установлены.</w:t>
      </w:r>
    </w:p>
    <w:p>
      <w:r>
        <w:t xml:space="preserve">Nexign. Partner Management. Проверено 2026-09-14.</w:t>
      </w:r>
    </w:p>
    <w:p>
      <w:r>
        <w:t xml:space="preserve">https://nexign.com/ru/products/nexign-partner-management</w:t>
      </w:r>
    </w:p>
    <w:p>
      <w:r>
        <w:t xml:space="preserve">Партнёрские договоры и вознаграждения.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https://aadocs.ru/otrasli/telecom/partner-settlement</w:t>
      </w:r>
    </w:p>
    <w:p>
      <w:r>
        <w:t xml:space="preserve">Запуск с назначением участников</w:t>
      </w:r>
    </w:p>
    <w:p>
      <w:r>
        <w:t xml:space="preserve">https://app.aadocs.ru/processes/catalog/telecom/partner-settlement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