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Подключение и начало обслуживания</w:t>
      </w:r>
    </w:p>
    <w:p>
      <w:pPr>
        <w:pStyle w:val="Subtitle"/>
      </w:pPr>
      <w:r>
        <w:t xml:space="preserve">Телеком и корпоративная связь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Работы на площадке завершены и услуга предъявлена к проверке.</w:t>
      </w:r>
    </w:p>
    <w:p>
      <w:r>
        <w:t xml:space="preserve">Подтверждены готовность и документированное основание начала обслуживания.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Координатор подключения.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Площадка</w:t>
            </w:r>
          </w:p>
        </w:tc>
        <w:tc>
          <w:tcPr>
            <w:tcW w:w="2400" w:type="dxa"/>
          </w:tcPr>
          <w:p>
            <w:r>
              <w:t xml:space="preserve">Адрес и услуга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Параметры</w:t>
            </w:r>
          </w:p>
        </w:tc>
        <w:tc>
          <w:tcPr>
            <w:tcW w:w="2400" w:type="dxa"/>
          </w:tcPr>
          <w:p>
            <w:r>
              <w:t xml:space="preserve">Подтверждённые результаты проверки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Начало</w:t>
            </w:r>
          </w:p>
        </w:tc>
        <w:tc>
          <w:tcPr>
            <w:tcW w:w="2400" w:type="dxa"/>
          </w:tcPr>
          <w:p>
            <w:r>
              <w:t xml:space="preserve">Договорное основание даты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Принятый заказ</w:t>
            </w:r>
          </w:p>
        </w:tc>
        <w:tc>
          <w:tcPr>
            <w:tcW w:w="2400" w:type="dxa"/>
          </w:tcPr>
          <w:p>
            <w:r>
              <w:t xml:space="preserve">Фиксирует согласованную услугу.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Отчёт монтажа</w:t>
            </w:r>
          </w:p>
        </w:tc>
        <w:tc>
          <w:tcPr>
            <w:tcW w:w="2400" w:type="dxa"/>
          </w:tcPr>
          <w:p>
            <w:r>
              <w:t xml:space="preserve">Подтверждает оборудование и работы.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Протокол и акт</w:t>
            </w:r>
          </w:p>
        </w:tc>
        <w:tc>
          <w:tcPr>
            <w:tcW w:w="2400" w:type="dxa"/>
          </w:tcPr>
          <w:p>
            <w:r>
              <w:t xml:space="preserve">Определяют проверку и клиентскую приёмку.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Готовность заказа</w:t>
      </w:r>
    </w:p>
    <w:p>
      <w:r>
        <w:t xml:space="preserve">Роли. Координатор.</w:t>
      </w:r>
    </w:p>
    <w:p>
      <w:r>
        <w:t xml:space="preserve">Решение назначенного участника этапа.</w:t>
      </w:r>
    </w:p>
    <w:p>
      <w:r>
        <w:t xml:space="preserve">☐ Сверить состав работ</w:t>
      </w:r>
    </w:p>
    <w:p>
      <w:r>
        <w:t xml:space="preserve">☐ Проверить готовность площадки</w:t>
      </w:r>
    </w:p>
    <w:p>
      <w:r>
        <w:t xml:space="preserve">Результат этапа. Пакет подключения.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Фактические работы</w:t>
      </w:r>
    </w:p>
    <w:p>
      <w:r>
        <w:t xml:space="preserve">Роли. Инженер монтажа.</w:t>
      </w:r>
    </w:p>
    <w:p>
      <w:r>
        <w:t xml:space="preserve">Решение назначенного участника этапа.</w:t>
      </w:r>
    </w:p>
    <w:p>
      <w:r>
        <w:t xml:space="preserve">☐ Подтвердить оборудование</w:t>
      </w:r>
    </w:p>
    <w:p>
      <w:r>
        <w:t xml:space="preserve">☐ Приложить результаты работ</w:t>
      </w:r>
    </w:p>
    <w:p>
      <w:r>
        <w:t xml:space="preserve">Результат этапа. Отчёт монтажа.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Эксплуатационная готовность</w:t>
      </w:r>
    </w:p>
    <w:p>
      <w:r>
        <w:t xml:space="preserve">Роли. Эксплуатация.</w:t>
      </w:r>
    </w:p>
    <w:p>
      <w:r>
        <w:t xml:space="preserve">Решение назначенного участника этапа.</w:t>
      </w:r>
    </w:p>
    <w:p>
      <w:r>
        <w:t xml:space="preserve">☐ Проверить услугу</w:t>
      </w:r>
    </w:p>
    <w:p>
      <w:r>
        <w:t xml:space="preserve">☐ Подтвердить сопровождение</w:t>
      </w:r>
    </w:p>
    <w:p>
      <w:r>
        <w:t xml:space="preserve">Результат этапа. Протокол проверки.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Основание обслуживания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Приложить клиентскую приёмку</w:t>
      </w:r>
    </w:p>
    <w:p>
      <w:r>
        <w:t xml:space="preserve">☐ Зафиксировать основание начала</w:t>
      </w:r>
    </w:p>
    <w:p>
      <w:r>
        <w:t xml:space="preserve">Результат этапа. Комплект для учёта активации.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Одна площадка не подключена.</w:t>
      </w:r>
    </w:p>
    <w:p>
      <w:r>
        <w:t xml:space="preserve">Сохранить отдельный статус этой точки.</w:t>
      </w:r>
    </w:p>
    <w:p>
      <w:r>
        <w:t xml:space="preserve">Ответственный. Координатор.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Параметры проверки не соответствуют заказу.</w:t>
      </w:r>
    </w:p>
    <w:p>
      <w:r>
        <w:t xml:space="preserve">Вернуть инженерам и провести повторную проверку.</w:t>
      </w:r>
    </w:p>
    <w:p>
      <w:r>
        <w:t xml:space="preserve">Ответственный. Эксплуатация.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Начисления с подтверждённой активацией. Активированные расчётные услуги с полным основанием / все новые начисляемые услуги.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Активация сети и начало начислений в BSS выполняются отдельно по договорным основаниям.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Nexign. Business Support System. Проверено 2026-09-14.</w:t>
      </w:r>
    </w:p>
    <w:p>
      <w:r>
        <w:t xml:space="preserve">https://nexign.com/ru/products/Business-Support-System</w:t>
      </w:r>
    </w:p>
    <w:p>
      <w:r>
        <w:t xml:space="preserve">Тарификация и модели расчётов. Официальное описание функций. Доли рынка и готовая интеграция с АА.Докс не установлены.</w:t>
      </w:r>
    </w:p>
    <w:p>
      <w:r>
        <w:t xml:space="preserve">Salesforce. Multisite Quotes and Orders. Проверено 2026-09-14.</w:t>
      </w:r>
    </w:p>
    <w:p>
      <w:r>
        <w:t xml:space="preserve">https://trailhead.salesforce.com/content/learn/modules/industries-cpq-multisite-quotes-and-orders/get-to-know-multisite-quotes-and-orders</w:t>
      </w:r>
    </w:p>
    <w:p>
      <w:r>
        <w:t xml:space="preserve">Многоплощадочные предложения CPQ и ESM.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https://aadocs.ru/otrasli/telecom/service-activation</w:t>
      </w:r>
    </w:p>
    <w:p>
      <w:r>
        <w:t xml:space="preserve">Запуск с назначением участников</w:t>
      </w:r>
    </w:p>
    <w:p>
      <w:r>
        <w:t xml:space="preserve">https://app.aadocs.ru/processes/catalog/telecom/service-activation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