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 партии по массе и составу</w:t>
      </w:r>
    </w:p>
    <w:p>
      <w:pPr>
        <w:pStyle w:val="Subtitle"/>
      </w:pPr>
      <w:r>
        <w:t xml:space="preserve">Отходы и вторсырьё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На площадку прибыла партия для сортировки или переработки.</w:t>
      </w:r>
    </w:p>
    <w:p>
      <w:r>
        <w:t xml:space="preserve">Согласованы принятая масса, состав и основания расчёта.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площадки.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Машина, дата и договор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Масса</w:t>
            </w:r>
          </w:p>
        </w:tc>
        <w:tc>
          <w:tcPr>
            <w:tcW w:w="2400" w:type="dxa"/>
          </w:tcPr>
          <w:p>
            <w:r>
              <w:t xml:space="preserve">Брутто, тара и нетто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Состав</w:t>
            </w:r>
          </w:p>
        </w:tc>
        <w:tc>
          <w:tcPr>
            <w:tcW w:w="2400" w:type="dxa"/>
          </w:tcPr>
          <w:p>
            <w:r>
              <w:t xml:space="preserve">Заявленные и фактические характеристики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 и описание</w:t>
            </w:r>
          </w:p>
        </w:tc>
        <w:tc>
          <w:tcPr>
            <w:tcW w:w="2400" w:type="dxa"/>
          </w:tcPr>
          <w:p>
            <w:r>
              <w:t xml:space="preserve">Плановый состав партии.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Весовые данные</w:t>
            </w:r>
          </w:p>
        </w:tc>
        <w:tc>
          <w:tcPr>
            <w:tcW w:w="2400" w:type="dxa"/>
          </w:tcPr>
          <w:p>
            <w:r>
              <w:t xml:space="preserve">Гружёная и пустая машина, время и идентификатор.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Акт расхождений</w:t>
            </w:r>
          </w:p>
        </w:tc>
        <w:tc>
          <w:tcPr>
            <w:tcW w:w="2400" w:type="dxa"/>
          </w:tcPr>
          <w:p>
            <w:r>
              <w:t xml:space="preserve">Факт осмотра и отклонения.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Идентификация</w:t>
      </w:r>
    </w:p>
    <w:p>
      <w:r>
        <w:t xml:space="preserve">Роли. Приёмщик.</w:t>
      </w:r>
    </w:p>
    <w:p>
      <w:r>
        <w:t xml:space="preserve">Решение назначенного участника этапа.</w:t>
      </w:r>
    </w:p>
    <w:p>
      <w:r>
        <w:t xml:space="preserve">☐ Связать машину с заявкой</w:t>
      </w:r>
    </w:p>
    <w:p>
      <w:r>
        <w:t xml:space="preserve">☐ Проверить документы</w:t>
      </w:r>
    </w:p>
    <w:p>
      <w:r>
        <w:t xml:space="preserve">Результат этапа. Карточка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Количество и состав</w:t>
      </w:r>
    </w:p>
    <w:p>
      <w:r>
        <w:t xml:space="preserve">Роли. Оператор весовой, Специалист площадки.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измерения</w:t>
      </w:r>
    </w:p>
    <w:p>
      <w:r>
        <w:t xml:space="preserve">☐ Зафиксировать отклонения и фото</w:t>
      </w:r>
    </w:p>
    <w:p>
      <w:r>
        <w:t xml:space="preserve">Результат этапа. Фактические данные.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Условия расчёта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Применить договорную методику</w:t>
      </w:r>
    </w:p>
    <w:p>
      <w:r>
        <w:t xml:space="preserve">☐ Выделить спорную часть</w:t>
      </w:r>
    </w:p>
    <w:p>
      <w:r>
        <w:t xml:space="preserve">Результат этапа. Проект расчёта.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приёмки</w:t>
      </w:r>
    </w:p>
    <w:p>
      <w:r>
        <w:t xml:space="preserve">Роли. Руководитель площадки.</w:t>
      </w:r>
    </w:p>
    <w:p>
      <w:r>
        <w:t xml:space="preserve">Решение назначенного участника этапа.</w:t>
      </w:r>
    </w:p>
    <w:p>
      <w:r>
        <w:t xml:space="preserve">☐ Утвердить принятое количество</w:t>
      </w:r>
    </w:p>
    <w:p>
      <w:r>
        <w:t xml:space="preserve">☐ Назначить действия по расхождениям</w:t>
      </w:r>
    </w:p>
    <w:p>
      <w:r>
        <w:t xml:space="preserve">Результат этапа. Подтверждённая приёмка.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Состав отличается от заявки.</w:t>
      </w:r>
    </w:p>
    <w:p>
      <w:r>
        <w:t xml:space="preserve">Получить профильное решение о допустимости приёма и новой цене.</w:t>
      </w:r>
    </w:p>
    <w:p>
      <w:r>
        <w:t xml:space="preserve">Ответственный. Специалист площадки.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Вес сторон расходится.</w:t>
      </w:r>
    </w:p>
    <w:p>
      <w:r>
        <w:t xml:space="preserve">Сохранить оба измерения и согласовать расчётную массу.</w:t>
      </w:r>
    </w:p>
    <w:p>
      <w:r>
        <w:t xml:space="preserve">Ответственный. Руководитель площадки.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спорной массы. Масса партий с открытым спором / вся предъявленная масса периода.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разрешает приём запрещённого материала и не подменяет обязательные разрешения.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RG-Soft. Переработка и размещение. Проверено 2026-09-16.</w:t>
      </w:r>
    </w:p>
    <w:p>
      <w:r>
        <w:t xml:space="preserve">https://rg-soft.ru/products/rg-soft-upravlenie-pererabotkoy-i-razmeshchenie-otkhodov/</w:t>
      </w:r>
    </w:p>
    <w:p>
      <w:r>
        <w:t xml:space="preserve">Вес загруженной и пустой машины, выпуск и склад вторсырья. Официальное описание функций. Доли рынка и готовая интеграция с АА.Докс не установлены.</w:t>
      </w:r>
    </w:p>
    <w:p>
      <w:r>
        <w:t xml:space="preserve">Waste Logics. Waste management software. Проверено 2026-09-16.</w:t>
      </w:r>
    </w:p>
    <w:p>
      <w:r>
        <w:t xml:space="preserve">https://www.wastelogics.com/</w:t>
      </w:r>
    </w:p>
    <w:p>
      <w:r>
        <w:t xml:space="preserve">Связь заказа, весовой, водителя и счёта. Британские формы и правовые режимы нельзя считать российскими обязательными документами.</w:t>
      </w:r>
    </w:p>
    <w:p>
      <w:r>
        <w:t xml:space="preserve">Страница маршрута</w:t>
      </w:r>
    </w:p>
    <w:p>
      <w:r>
        <w:t xml:space="preserve">https://aadocs.ru/otrasli/waste-recycling/waste-intake</w:t>
      </w:r>
    </w:p>
    <w:p>
      <w:r>
        <w:t xml:space="preserve">Запуск с назначением участников</w:t>
      </w:r>
    </w:p>
    <w:p>
      <w:r>
        <w:t xml:space="preserve">https://app.aadocs.ru/processes/catalog/waste-recycling/waste-intake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